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left"/>
        <w:rPr/>
      </w:pPr>
      <w:bookmarkStart w:id="0" w:name="mgtx-20260813xs8.htm"/>
      <w:bookmarkStart w:id="1" w:name="ksmgtx20260813xs8"/>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filed with the Securities and Exchange Commission on August 13, 2026</w:t>
      </w:r>
    </w:p>
    <w:p>
      <w:pPr>
        <w:pStyle w:val="TextBody"/>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Registration No. 333-</w:t>
      </w:r>
    </w:p>
    <w:p>
      <w:pPr>
        <w:pStyle w:val="TextBody"/>
        <w:pBdr>
          <w:bottom w:val="single" w:sz="2" w:space="1" w:color="000000"/>
        </w:pBdr>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S-8</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REGISTRATION STATEMENT</w:t>
      </w:r>
    </w:p>
    <w:p>
      <w:pPr>
        <w:pStyle w:val="TextBody"/>
        <w:bidi w:val="0"/>
        <w:spacing w:before="0" w:after="0"/>
        <w:ind w:left="0" w:right="0" w:hanging="0"/>
        <w:jc w:val="center"/>
        <w:rPr>
          <w:rFonts w:ascii="Times New Roman;Times;serif" w:hAnsi="Times New Roman;Times;serif"/>
          <w:b/>
          <w:i/>
          <w:sz w:val="22"/>
        </w:rPr>
      </w:pPr>
      <w:r>
        <w:rPr>
          <w:rFonts w:ascii="Times New Roman;Times;serif" w:hAnsi="Times New Roman;Times;serif"/>
          <w:b/>
          <w:i/>
          <w:sz w:val="22"/>
        </w:rPr>
        <w:t>UNDER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i/>
          <w:sz w:val="22"/>
        </w:rPr>
        <w:t>THE</w:t>
      </w:r>
      <w:r>
        <w:rPr>
          <w:rFonts w:ascii="Times New Roman;Times;serif" w:hAnsi="Times New Roman;Times;serif"/>
          <w:sz w:val="20"/>
        </w:rPr>
        <w:t xml:space="preserve"> </w:t>
      </w:r>
      <w:r>
        <w:rPr>
          <w:rFonts w:ascii="Times New Roman;Times;serif" w:hAnsi="Times New Roman;Times;serif"/>
          <w:b/>
          <w:i/>
          <w:sz w:val="22"/>
        </w:rPr>
        <w:t>SECURITIES ACT OF</w:t>
      </w:r>
      <w:r>
        <w:rPr>
          <w:rFonts w:ascii="Times New Roman;Times;serif" w:hAnsi="Times New Roman;Times;serif"/>
          <w:sz w:val="20"/>
        </w:rPr>
        <w:t xml:space="preserve"> </w:t>
      </w:r>
      <w:r>
        <w:rPr>
          <w:rFonts w:ascii="Times New Roman;Times;serif" w:hAnsi="Times New Roman;Times;serif"/>
          <w:b/>
          <w:i/>
          <w:sz w:val="22"/>
        </w:rPr>
        <w:t>1933</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MeiraGTx Holdings plc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left"/>
        <w:rPr/>
      </w:pPr>
      <w:r>
        <w:rPr/>
        <w:t>​</w:t>
      </w:r>
    </w:p>
    <w:tbl>
      <w:tblPr>
        <w:tblW w:w="4153" w:type="dxa"/>
        <w:jc w:val="center"/>
        <w:tblInd w:w="0" w:type="dxa"/>
        <w:tblLayout w:type="fixed"/>
        <w:tblCellMar>
          <w:top w:w="0" w:type="dxa"/>
          <w:left w:w="0" w:type="dxa"/>
          <w:bottom w:w="0" w:type="dxa"/>
          <w:right w:w="0" w:type="dxa"/>
        </w:tblCellMar>
      </w:tblPr>
      <w:tblGrid>
        <w:gridCol w:w="2446"/>
        <w:gridCol w:w="146"/>
        <w:gridCol w:w="1561"/>
      </w:tblGrid>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1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98-1448305</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br/>
              <w:t>Identification No.)</w:t>
            </w:r>
          </w:p>
        </w:tc>
      </w:tr>
    </w:tbl>
    <w:p>
      <w:pPr>
        <w:pStyle w:val="TextBody"/>
        <w:bidi w:val="0"/>
        <w:spacing w:before="0" w:after="0"/>
        <w:ind w:left="0" w:right="0" w:hanging="0"/>
        <w:jc w:val="left"/>
        <w:rPr/>
      </w:pPr>
      <w:r>
        <w:rPr/>
        <w:t>​</w:t>
      </w:r>
    </w:p>
    <w:tbl>
      <w:tblPr>
        <w:tblW w:w="3886" w:type="dxa"/>
        <w:jc w:val="center"/>
        <w:tblInd w:w="0" w:type="dxa"/>
        <w:tblLayout w:type="fixed"/>
        <w:tblCellMar>
          <w:top w:w="0" w:type="dxa"/>
          <w:left w:w="0" w:type="dxa"/>
          <w:bottom w:w="0" w:type="dxa"/>
          <w:right w:w="0" w:type="dxa"/>
        </w:tblCellMar>
      </w:tblPr>
      <w:tblGrid>
        <w:gridCol w:w="3886"/>
      </w:tblGrid>
      <w:tr>
        <w:trPr/>
        <w:tc>
          <w:tcPr>
            <w:tcW w:w="38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655 Third Avenue, Suite 1115</w:t>
              <w:br/>
              <w:t>New York, NY 10017</w:t>
            </w:r>
          </w:p>
        </w:tc>
      </w:tr>
      <w:tr>
        <w:trPr/>
        <w:tc>
          <w:tcPr>
            <w:tcW w:w="38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MeiraGTx Holdings plc 2026 Employment Inducement</w:t>
      </w:r>
      <w:r>
        <w:rPr>
          <w:rFonts w:ascii="Times New Roman;Times;serif" w:hAnsi="Times New Roman;Times;serif"/>
          <w:sz w:val="18"/>
        </w:rPr>
        <w:t xml:space="preserve"> </w:t>
      </w:r>
      <w:r>
        <w:rPr>
          <w:rFonts w:ascii="Times New Roman;Times;serif" w:hAnsi="Times New Roman;Times;serif"/>
          <w:b/>
          <w:sz w:val="18"/>
        </w:rPr>
        <w:t>Award Plan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(Full title of the plan)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Alexandria Forbes, Ph.D.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President and Chief Executive Officer</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MeiraGTx,</w:t>
      </w:r>
      <w:r>
        <w:rPr>
          <w:rFonts w:ascii="Times New Roman;Times;serif" w:hAnsi="Times New Roman;Times;serif"/>
          <w:sz w:val="18"/>
        </w:rPr>
        <w:t xml:space="preserve"> </w:t>
      </w:r>
      <w:r>
        <w:rPr>
          <w:rFonts w:ascii="Times New Roman;Times;serif" w:hAnsi="Times New Roman;Times;serif"/>
          <w:b/>
          <w:sz w:val="18"/>
        </w:rPr>
        <w:t>LLC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655 Third Avenue, Suite 1115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New York, NY 10017</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and address of agent for service)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(646) 860-7985</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(Telephone number, including area code, of agent for service)</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i/>
          <w:sz w:val="18"/>
        </w:rPr>
        <w:t>Copies</w:t>
      </w:r>
      <w:r>
        <w:rPr>
          <w:rFonts w:ascii="Times New Roman;Times;serif" w:hAnsi="Times New Roman;Times;serif"/>
          <w:sz w:val="18"/>
        </w:rPr>
        <w:t xml:space="preserve"> </w:t>
      </w:r>
      <w:r>
        <w:rPr>
          <w:rFonts w:ascii="Times New Roman;Times;serif" w:hAnsi="Times New Roman;Times;serif"/>
          <w:b/>
          <w:i/>
          <w:sz w:val="18"/>
        </w:rPr>
        <w:t>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Keith L. Halverstam</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Ellen Smiley</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Latham &amp; Watkins LLP</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1271 Avenue of the Americas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New York, NY 10020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906-1200</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822" w:type="dxa"/>
        <w:jc w:val="left"/>
        <w:tblInd w:w="0" w:type="dxa"/>
        <w:tblLayout w:type="fixed"/>
        <w:tblCellMar>
          <w:top w:w="0" w:type="dxa"/>
          <w:left w:w="0" w:type="dxa"/>
          <w:bottom w:w="0" w:type="dxa"/>
          <w:right w:w="0"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 </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 </w:t>
            </w:r>
          </w:p>
        </w:tc>
      </w:tr>
      <w:tr>
        <w:trPr/>
        <w:tc>
          <w:tcPr>
            <w:tcW w:w="16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264"/>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top w:val="single" w:sz="2" w:space="1" w:color="000000"/>
          <w:bottom w:val="single" w:sz="24" w:space="1" w:color="000000"/>
        </w:pBdr>
        <w:bidi w:val="0"/>
        <w:spacing w:before="0" w:after="0"/>
        <w:ind w:left="0" w:right="0" w:firstLine="264"/>
        <w:jc w:val="left"/>
        <w:rPr/>
      </w:pPr>
      <w:r>
        <w:rPr/>
        <w:t>​</w:t>
      </w:r>
    </w:p>
    <w:p>
      <w:pPr>
        <w:pStyle w:val="TextBody"/>
        <w:bidi w:val="0"/>
        <w:spacing w:before="0" w:after="0"/>
        <w:ind w:left="0" w:right="0" w:firstLine="264"/>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Registration Statement on Form S-8 is being filed for the purpose of registering 1,000,000 ordinary shares, nominal value $0.00003881 per share (“</w:t>
      </w:r>
      <w:r>
        <w:rPr>
          <w:rFonts w:ascii="Times New Roman;Times;serif" w:hAnsi="Times New Roman;Times;serif"/>
          <w:b/>
          <w:i/>
          <w:sz w:val="20"/>
        </w:rPr>
        <w:t>Ordinary Shares</w:t>
      </w:r>
      <w:r>
        <w:rPr>
          <w:rFonts w:ascii="Times New Roman;Times;serif" w:hAnsi="Times New Roman;Times;serif"/>
          <w:sz w:val="20"/>
        </w:rPr>
        <w:t>”), of MeiraGTx Holdings plc (the “</w:t>
      </w:r>
      <w:r>
        <w:rPr>
          <w:rFonts w:ascii="Times New Roman;Times;serif" w:hAnsi="Times New Roman;Times;serif"/>
          <w:b/>
          <w:i/>
          <w:sz w:val="20"/>
        </w:rPr>
        <w:t>Registrant</w:t>
      </w:r>
      <w:r>
        <w:rPr>
          <w:rFonts w:ascii="Times New Roman;Times;serif" w:hAnsi="Times New Roman;Times;serif"/>
          <w:sz w:val="20"/>
        </w:rPr>
        <w:t>”), available for issuance under the MeiraGTx Holdings plc 2026 Employment Inducement Award Plan.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INFORMATION REQUIRED IN THE SECTION 10(a) PROSPECTUS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called for in Part I of Form S-8 is not being filed with or included in this Registration Statement (by incorporation by reference or otherwise) in accordance with the rules and regulations of the Securities and Exchange Commission (the “</w:t>
      </w:r>
      <w:r>
        <w:rPr>
          <w:rFonts w:ascii="Times New Roman;Times;serif" w:hAnsi="Times New Roman;Times;serif"/>
          <w:b/>
          <w:i/>
          <w:sz w:val="20"/>
        </w:rPr>
        <w:t>Commission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INFORMATION REQUIRED IN THE REGISTRATION STATEMENT</w:t>
      </w:r>
    </w:p>
    <w:p>
      <w:pPr>
        <w:pStyle w:val="TextBody"/>
        <w:pBdr/>
        <w:shd w:fill="FFFFFF" w:val="clear"/>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Item 3. Incorporation of Documents by Reference.</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documents, which have been filed with the Commission by the Registrant, pursuant to the Securities Act of 1933, as amended (the “</w:t>
      </w:r>
      <w:r>
        <w:rPr>
          <w:rFonts w:ascii="Times New Roman;Times;serif" w:hAnsi="Times New Roman;Times;serif"/>
          <w:b/>
          <w:i/>
          <w:sz w:val="20"/>
        </w:rPr>
        <w:t>Securities Act</w:t>
      </w:r>
      <w:r>
        <w:rPr>
          <w:rFonts w:ascii="Times New Roman;Times;serif" w:hAnsi="Times New Roman;Times;serif"/>
          <w:sz w:val="20"/>
        </w:rPr>
        <w:t>”) and the Securities Exchange Act of 1934, as amended (the “</w:t>
      </w:r>
      <w:r>
        <w:rPr>
          <w:rFonts w:ascii="Times New Roman;Times;serif" w:hAnsi="Times New Roman;Times;serif"/>
          <w:b/>
          <w:i/>
          <w:sz w:val="20"/>
        </w:rPr>
        <w:t>Exchange Act</w:t>
      </w:r>
      <w:r>
        <w:rPr>
          <w:rFonts w:ascii="Times New Roman;Times;serif" w:hAnsi="Times New Roman;Times;serif"/>
          <w:sz w:val="20"/>
        </w:rPr>
        <w:t>”), as applicable, are hereby incorporated by reference in, and shall be deemed to be a part of, this Registration Statement:</w:t>
      </w:r>
    </w:p>
    <w:p>
      <w:pPr>
        <w:pStyle w:val="TextBody"/>
        <w:pBdr/>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(a)</w:t>
      </w:r>
      <w:hyperlink r:id="rId2">
        <w:r>
          <w:rPr>
            <w:rStyle w:val="InternetLink"/>
            <w:rFonts w:ascii="Times New Roman;Times;serif" w:hAnsi="Times New Roman;Times;serif"/>
            <w:b w:val="false"/>
            <w:i w:val="false"/>
            <w:caps w:val="false"/>
            <w:smallCaps w:val="false"/>
            <w:sz w:val="20"/>
          </w:rPr>
          <w:t>the Registrant’s Annual Report on Form 10-K for the fiscal year ended December 31, 2025</w:t>
        </w:r>
      </w:hyperlink>
      <w:r>
        <w:rPr>
          <w:rFonts w:ascii="Times New Roman;Times;serif" w:hAnsi="Times New Roman;Times;serif"/>
          <w:sz w:val="20"/>
        </w:rPr>
        <w:t>;</w:t>
      </w:r>
    </w:p>
    <w:p>
      <w:pPr>
        <w:pStyle w:val="TextBody"/>
        <w:pBdr/>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Registrant’s Quarterly Reports on Form 10-Q for the quarterly periods ended </w:t>
      </w:r>
      <w:hyperlink r:id="rId3">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sz w:val="20"/>
        </w:rPr>
        <w:t xml:space="preserve"> and </w:t>
      </w:r>
      <w:hyperlink r:id="rId4">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sz w:val="20"/>
        </w:rPr>
        <w:t>;</w:t>
      </w:r>
    </w:p>
    <w:p>
      <w:pPr>
        <w:pStyle w:val="TextBody"/>
        <w:pBdr/>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Registrant’s Current Reports on Form 8-K filed with the Commission on </w:t>
      </w:r>
      <w:hyperlink r:id="rId5">
        <w:r>
          <w:rPr>
            <w:rStyle w:val="InternetLink"/>
            <w:rFonts w:ascii="Times New Roman;Times;serif" w:hAnsi="Times New Roman;Times;serif"/>
            <w:b w:val="false"/>
            <w:i w:val="false"/>
            <w:caps w:val="false"/>
            <w:smallCaps w:val="false"/>
            <w:sz w:val="20"/>
          </w:rPr>
          <w:t>January 2, 2026</w:t>
        </w:r>
      </w:hyperlink>
      <w:r>
        <w:rPr>
          <w:rFonts w:ascii="Times New Roman;Times;serif" w:hAnsi="Times New Roman;Times;serif"/>
          <w:sz w:val="20"/>
        </w:rPr>
        <w:t xml:space="preserve">, </w:t>
      </w:r>
      <w:hyperlink r:id="rId6">
        <w:r>
          <w:rPr>
            <w:rStyle w:val="InternetLink"/>
            <w:rFonts w:ascii="Times New Roman;Times;serif" w:hAnsi="Times New Roman;Times;serif"/>
            <w:b w:val="false"/>
            <w:i w:val="false"/>
            <w:caps w:val="false"/>
            <w:smallCaps w:val="false"/>
            <w:sz w:val="20"/>
          </w:rPr>
          <w:t>March 26, 2026</w:t>
        </w:r>
      </w:hyperlink>
      <w:r>
        <w:rPr>
          <w:rFonts w:ascii="Times New Roman;Times;serif" w:hAnsi="Times New Roman;Times;serif"/>
          <w:sz w:val="20"/>
        </w:rPr>
        <w:t xml:space="preserve"> (except for Items 2.02 and 9.01), </w:t>
      </w:r>
      <w:hyperlink r:id="rId7">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sz w:val="20"/>
        </w:rPr>
        <w:t xml:space="preserve"> (except for Items 7.01 and 9.01), </w:t>
      </w:r>
      <w:hyperlink r:id="rId8">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sz w:val="20"/>
        </w:rPr>
        <w:t xml:space="preserve"> (except for Item 7.01 and Exhibit 99.1), </w:t>
      </w:r>
      <w:hyperlink r:id="rId9">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sz w:val="20"/>
        </w:rPr>
        <w:t xml:space="preserve">, </w:t>
      </w:r>
      <w:hyperlink r:id="rId10">
        <w:r>
          <w:rPr>
            <w:rStyle w:val="InternetLink"/>
            <w:rFonts w:ascii="Times New Roman;Times;serif" w:hAnsi="Times New Roman;Times;serif"/>
            <w:b w:val="false"/>
            <w:i w:val="false"/>
            <w:caps w:val="false"/>
            <w:smallCaps w:val="false"/>
            <w:sz w:val="20"/>
          </w:rPr>
          <w:t>April 24, 2026</w:t>
        </w:r>
      </w:hyperlink>
      <w:r>
        <w:rPr>
          <w:rFonts w:ascii="Times New Roman;Times;serif" w:hAnsi="Times New Roman;Times;serif"/>
          <w:sz w:val="20"/>
        </w:rPr>
        <w:t xml:space="preserve">, </w:t>
      </w:r>
      <w:hyperlink r:id="rId11">
        <w:r>
          <w:rPr>
            <w:rStyle w:val="InternetLink"/>
            <w:rFonts w:ascii="Times New Roman;Times;serif" w:hAnsi="Times New Roman;Times;serif"/>
            <w:b w:val="false"/>
            <w:i w:val="false"/>
            <w:caps w:val="false"/>
            <w:smallCaps w:val="false"/>
            <w:sz w:val="20"/>
          </w:rPr>
          <w:t>June 15, 2026</w:t>
        </w:r>
      </w:hyperlink>
      <w:r>
        <w:rPr>
          <w:rFonts w:ascii="Times New Roman;Times;serif" w:hAnsi="Times New Roman;Times;serif"/>
          <w:sz w:val="20"/>
        </w:rPr>
        <w:t xml:space="preserve"> and </w:t>
      </w:r>
      <w:hyperlink r:id="rId12">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sz w:val="20"/>
        </w:rPr>
        <w:t xml:space="preserve"> (except for Item 7.01 and Exhibit 99.1); and</w:t>
      </w:r>
    </w:p>
    <w:p>
      <w:pPr>
        <w:pStyle w:val="TextBody"/>
        <w:pBdr/>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description of the Registrant’s Ordinary Shares contained in the Registrant’s Registration Statement on </w:t>
      </w:r>
      <w:hyperlink r:id="rId13">
        <w:r>
          <w:rPr>
            <w:rStyle w:val="InternetLink"/>
            <w:rFonts w:ascii="Times New Roman;Times;serif" w:hAnsi="Times New Roman;Times;serif"/>
            <w:b w:val="false"/>
            <w:i w:val="false"/>
            <w:caps w:val="false"/>
            <w:smallCaps w:val="false"/>
            <w:sz w:val="20"/>
          </w:rPr>
          <w:t>Form 8-A filed with the Commission on June 8, 2018</w:t>
        </w:r>
      </w:hyperlink>
      <w:r>
        <w:rPr>
          <w:rFonts w:ascii="Times New Roman;Times;serif" w:hAnsi="Times New Roman;Times;serif"/>
          <w:sz w:val="20"/>
        </w:rPr>
        <w:t xml:space="preserve">, pursuant to the Exchange Act, as updated by “Description of Securities” filed as </w:t>
      </w:r>
      <w:hyperlink r:id="rId14">
        <w:r>
          <w:rPr>
            <w:rStyle w:val="InternetLink"/>
            <w:rFonts w:ascii="Times New Roman;Times;serif" w:hAnsi="Times New Roman;Times;serif"/>
            <w:b w:val="false"/>
            <w:i w:val="false"/>
            <w:caps w:val="false"/>
            <w:smallCaps w:val="false"/>
            <w:sz w:val="20"/>
          </w:rPr>
          <w:t>Exhibit 4.3</w:t>
        </w:r>
      </w:hyperlink>
      <w:r>
        <w:rPr>
          <w:rFonts w:ascii="Times New Roman;Times;serif" w:hAnsi="Times New Roman;Times;serif"/>
          <w:sz w:val="20"/>
        </w:rPr>
        <w:t xml:space="preserve"> to the Registrant’s Annual Report on Form 10-K for the fiscal year ended December 31, 2019 and any amendment or report filed for the purpose of updating such description.</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documents subsequently filed by the Registrant pursuant to Sections 13(a), 13(c), 14 and 15(d) of the Exchange Act subsequent to the date of this Registration Statement (except for any portions of the Registrant’s Current Reports on Form 8-K furnished pursuant to Item 2.02 and/or Item 7.01 thereof and any corresponding exhibits thereto not filed with the Commission)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statement so modified or superseded shall not be deemed, except as so modified or superseded, to constitute a part of this Registration Statement, except as to specific sections of such statements as set forth therein.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no circumstances shall any information furnished under Item 2.02 or 7.01 of Form 8-K be deemed incorporated herein by reference unless such Form 8-K expressly provides to the contrary.</w:t>
      </w:r>
    </w:p>
    <w:p>
      <w:pPr>
        <w:pStyle w:val="HorizontalLine"/>
        <w:pBdr>
          <w:bottom w:val="double" w:sz="2" w:space="0" w:color="808080"/>
        </w:pBdr>
        <w:bidi w:val="0"/>
        <w:spacing w:before="0" w:after="283"/>
        <w:jc w:val="left"/>
        <w:rPr/>
      </w:pPr>
      <w:r>
        <w:rPr/>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 Description of Securities.</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 Interests of Named Experts and Counsel.</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 Indemnification of Directors and Officers.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our board of directors and officers shall be indemnified from and against all liability which they incur in execution of their duty in their respective offices, except liability incurred by reason of such directors’ or officers’ dishonesty, willful default or fraud.</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or persons controlling us pursuant to the foregoing provisions, we have been informed that in the opinion of the Commission such indemnification is against public policy as expressed in the Securities Act and is therefore unenforceable.</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amended and restated memorandum and articles of association provide:</w:t>
      </w:r>
    </w:p>
    <w:p>
      <w:pPr>
        <w:pStyle w:val="TextBody"/>
        <w:pBdr/>
        <w:shd w:fill="FFFFFF" w:val="clear"/>
        <w:bidi w:val="0"/>
        <w:spacing w:before="0" w:after="0"/>
        <w:ind w:left="0" w:right="0" w:firstLine="360"/>
        <w:jc w:val="both"/>
        <w:rPr/>
      </w:pPr>
      <w:r>
        <w:rPr/>
        <w:t>“</w:t>
      </w:r>
      <w:r>
        <w:rPr>
          <w:rFonts w:ascii="Times New Roman;Times;serif" w:hAnsi="Times New Roman;Times;serif"/>
          <w:sz w:val="20"/>
        </w:rPr>
        <w:t>Every Director (including for the purposes of this Article any alternate Director appointed pursuant to the provisions of these Articles), Secretary, assistant Secretary, or other Officer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as determined by a court of competent jurisdiction,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Indemnified Person shall be liable:</w:t>
      </w:r>
    </w:p>
    <w:tbl>
      <w:tblPr>
        <w:tblW w:w="9303" w:type="dxa"/>
        <w:jc w:val="left"/>
        <w:tblInd w:w="0" w:type="dxa"/>
        <w:tblLayout w:type="fixed"/>
        <w:tblCellMar>
          <w:top w:w="0" w:type="dxa"/>
          <w:left w:w="0" w:type="dxa"/>
          <w:bottom w:w="0" w:type="dxa"/>
          <w:right w:w="0" w:type="dxa"/>
        </w:tblCellMar>
      </w:tblPr>
      <w:tblGrid>
        <w:gridCol w:w="23"/>
        <w:gridCol w:w="230"/>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050"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for the acts, receipts, neglects, defaults or omissions of any other Director or Officer or agent of the Company; or</w:t>
            </w:r>
          </w:p>
        </w:tc>
      </w:tr>
    </w:tbl>
    <w:tbl>
      <w:tblPr>
        <w:tblW w:w="6408" w:type="dxa"/>
        <w:jc w:val="left"/>
        <w:tblInd w:w="0" w:type="dxa"/>
        <w:tblLayout w:type="fixed"/>
        <w:tblCellMar>
          <w:top w:w="0" w:type="dxa"/>
          <w:left w:w="0" w:type="dxa"/>
          <w:bottom w:w="0" w:type="dxa"/>
          <w:right w:w="0" w:type="dxa"/>
        </w:tblCellMar>
      </w:tblPr>
      <w:tblGrid>
        <w:gridCol w:w="23"/>
        <w:gridCol w:w="24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140"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for any loss on account of defect of title to any property of the Company; or</w:t>
            </w:r>
          </w:p>
        </w:tc>
      </w:tr>
    </w:tbl>
    <w:tbl>
      <w:tblPr>
        <w:tblW w:w="9438" w:type="dxa"/>
        <w:jc w:val="left"/>
        <w:tblInd w:w="0" w:type="dxa"/>
        <w:tblLayout w:type="fixed"/>
        <w:tblCellMar>
          <w:top w:w="0" w:type="dxa"/>
          <w:left w:w="0" w:type="dxa"/>
          <w:bottom w:w="0" w:type="dxa"/>
          <w:right w:w="0" w:type="dxa"/>
        </w:tblCellMar>
      </w:tblPr>
      <w:tblGrid>
        <w:gridCol w:w="23"/>
        <w:gridCol w:w="230"/>
        <w:gridCol w:w="91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185"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on account of the insufficiency of any security in or upon which any money of the Company shall be invested; or</w:t>
            </w:r>
          </w:p>
        </w:tc>
      </w:tr>
    </w:tbl>
    <w:tbl>
      <w:tblPr>
        <w:tblW w:w="6168" w:type="dxa"/>
        <w:jc w:val="left"/>
        <w:tblInd w:w="0" w:type="dxa"/>
        <w:tblLayout w:type="fixed"/>
        <w:tblCellMar>
          <w:top w:w="0" w:type="dxa"/>
          <w:left w:w="0" w:type="dxa"/>
          <w:bottom w:w="0" w:type="dxa"/>
          <w:right w:w="0" w:type="dxa"/>
        </w:tblCellMar>
      </w:tblPr>
      <w:tblGrid>
        <w:gridCol w:w="23"/>
        <w:gridCol w:w="24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(d)</w:t>
            </w:r>
          </w:p>
        </w:tc>
        <w:tc>
          <w:tcPr>
            <w:tcW w:w="5900"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for any loss incurred through any bank, broker or other similar Person; or</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65"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for any loss occasioned by any negligence, default, breach of duty, breach of trust, error of judgement or oversight on such Indemnified Person’s part; or</w:t>
            </w:r>
          </w:p>
        </w:tc>
      </w:tr>
    </w:tbl>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09" w:type="dxa"/>
            <w:tcBorders/>
            <w:vAlign w:val="center"/>
          </w:tcPr>
          <w:p>
            <w:pPr>
              <w:pStyle w:val="TableContents"/>
              <w:pBdr/>
              <w:shd w:fill="FFFFFF" w:val="clear"/>
              <w:bidi w:val="0"/>
              <w:spacing w:before="0" w:after="0"/>
              <w:jc w:val="both"/>
              <w:rPr>
                <w:rFonts w:ascii="Times New Roman;Times;serif" w:hAnsi="Times New Roman;Times;serif"/>
                <w:sz w:val="20"/>
              </w:rPr>
            </w:pPr>
            <w:r>
              <w:rPr>
                <w:rFonts w:ascii="Times New Roman;Times;serif" w:hAnsi="Times New Roman;Times;serif"/>
                <w:sz w:val="20"/>
              </w:rPr>
              <w:t>for any loss, damage or misfortune whatsoever which may happen in or arise from the execution or discharge of the duties, powers, authorities, or discretions of such Indemnified Person’s office or in relation thereto;</w:t>
            </w:r>
          </w:p>
        </w:tc>
      </w:tr>
    </w:tbl>
    <w:p>
      <w:pPr>
        <w:pStyle w:val="TextBody"/>
        <w:shd w:fill="FFFFFF" w:val="clear"/>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unless the same shall happen through such Indemnified Person’s own dishonesty, willful default or fraud as determined by a court of competent jurisdiction.”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entered into indemnification agreements with each of our directors and officers. These indemnification agreements require us, among other things, to indemnify our directors and officers for some expenses, including attorneys’ fees, judgments, fines and settlement amounts incurred by a director or officer in any action or proceeding arising out of </w:t>
      </w:r>
    </w:p>
    <w:p>
      <w:pPr>
        <w:pStyle w:val="HorizontalLine"/>
        <w:pBdr>
          <w:bottom w:val="double" w:sz="2" w:space="0" w:color="808080"/>
        </w:pBdr>
        <w:bidi w:val="0"/>
        <w:spacing w:before="0" w:after="283"/>
        <w:jc w:val="left"/>
        <w:rPr/>
      </w:pPr>
      <w:r>
        <w:rPr/>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his or her service as one of our directors or officers, or any of our subsidiaries or any other company or enterprise to which the person provides services at our request.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maintain a general liability insurance policy that covers certain liabilities of directors and officers of our corporation arising out of claims based on acts or omissions in their capacities as directors or officers.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any underwriting agreement we enter into in connection with the sale of ordinary shares being registered hereby, the underwriters will agree to indemnify, under certain conditions, us, our directors, our officers and persons who control us within the meaning of the Securities Act of 1933, as amended, or the Securities Act, against certain liabilities.</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7. Exemption from Registration Claimed.</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Item 8.</w:t>
      </w:r>
      <w:r>
        <w:rPr>
          <w:rFonts w:ascii="Times New Roman;Times;serif" w:hAnsi="Times New Roman;Times;serif"/>
          <w:sz w:val="20"/>
        </w:rPr>
        <w:t xml:space="preserve">   </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946"/>
        <w:gridCol w:w="346"/>
        <w:gridCol w:w="8913"/>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Contents"/>
              <w:bidi w:val="0"/>
              <w:spacing w:before="0" w:after="0"/>
              <w:ind w:left="0" w:right="0" w:hanging="0"/>
              <w:jc w:val="left"/>
              <w:rPr/>
            </w:pPr>
            <w:r>
              <w:rPr/>
              <w:t>   ​ ​</w:t>
            </w:r>
          </w:p>
        </w:tc>
        <w:tc>
          <w:tcPr>
            <w:tcW w:w="89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Amended and Restated Memorandum and Articles of Association of the Registrant (incorporated by reference to Exhibit 3.1 to the Registrant’s Quarterly Report on Form 10-Q for the quarterly period ended June 30, 2019 (File No. 001-38520)).</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Shareholder Agreement (incorporated by reference to Exhibit 4.2 to the Registrant’s Annual Report on Form 10-K for the fiscal year ended December 31, 2019 (File No. 001-38520)).</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r>
              <w:rPr/>
              <w:t> </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Specimen Share Certificate evidencing the ordinary shares of the Registrant (incorporated by reference to Exhibit 4.1 to the Registrant’s Form S-1 (File No. 333-224914) filed May 29, 2018).</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w:anchor="mgtx-20260813xex5d1.htm">
              <w:r>
                <w:rPr>
                  <w:rStyle w:val="InternetLink"/>
                  <w:rFonts w:ascii="Times New Roman;Times;serif" w:hAnsi="Times New Roman;Times;serif"/>
                  <w:b w:val="false"/>
                  <w:i w:val="false"/>
                  <w:caps w:val="false"/>
                  <w:smallCaps w:val="false"/>
                  <w:sz w:val="20"/>
                </w:rPr>
                <w:t>Opinion of Walkers, counsel to the Registrant.</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r>
              <w:rPr/>
              <w:t> </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w:anchor="mgtx-20260813xex23d1.htm">
              <w:r>
                <w:rPr>
                  <w:rStyle w:val="InternetLink"/>
                  <w:rFonts w:ascii="Times New Roman;Times;serif" w:hAnsi="Times New Roman;Times;serif"/>
                  <w:b w:val="false"/>
                  <w:i w:val="false"/>
                  <w:caps w:val="false"/>
                  <w:smallCaps w:val="false"/>
                  <w:sz w:val="20"/>
                </w:rPr>
                <w:t>Consent of Ernst &amp; Young LLP.</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r>
              <w:rPr/>
              <w:t> </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w:anchor="mgtx-20260813xex5d1.htm">
              <w:r>
                <w:rPr>
                  <w:rStyle w:val="InternetLink"/>
                  <w:rFonts w:ascii="Times New Roman;Times;serif" w:hAnsi="Times New Roman;Times;serif"/>
                  <w:b w:val="false"/>
                  <w:i w:val="false"/>
                  <w:caps w:val="false"/>
                  <w:smallCaps w:val="false"/>
                  <w:sz w:val="20"/>
                </w:rPr>
                <w:t>Consent of Walkers (included in Exhibit 5.1).</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r>
              <w:rPr/>
              <w:t> </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center"/>
              <w:rPr/>
            </w:pPr>
            <w:r>
              <w:rPr/>
              <w:t> </w:t>
            </w:r>
          </w:p>
        </w:tc>
        <w:tc>
          <w:tcPr>
            <w:tcW w:w="8913" w:type="dxa"/>
            <w:tcBorders/>
            <w:vAlign w:val="center"/>
          </w:tcPr>
          <w:p>
            <w:pPr>
              <w:pStyle w:val="TableContents"/>
              <w:bidi w:val="0"/>
              <w:spacing w:before="0" w:after="0"/>
              <w:ind w:left="0" w:right="0" w:hanging="0"/>
              <w:jc w:val="both"/>
              <w:rPr/>
            </w:pPr>
            <w:hyperlink w:anchor="SIGNATURESANDPOWEROFATTORNEY_596904">
              <w:r>
                <w:rPr>
                  <w:rStyle w:val="InternetLink"/>
                  <w:rFonts w:ascii="Times New Roman;Times;serif" w:hAnsi="Times New Roman;Times;serif"/>
                  <w:b w:val="false"/>
                  <w:i w:val="false"/>
                  <w:caps w:val="false"/>
                  <w:smallCaps w:val="false"/>
                  <w:sz w:val="20"/>
                </w:rPr>
                <w:t>Power of Attorney (included on signature page</w:t>
              </w:r>
            </w:hyperlink>
            <w:hyperlink w:anchor="SIGNATURESANDPOWEROFATTORNEY_596904">
              <w:r>
                <w:rPr>
                  <w:rStyle w:val="InternetLink"/>
                  <w:rFonts w:ascii="Times New Roman;Times;serif" w:hAnsi="Times New Roman;Times;serif"/>
                  <w:caps w:val="false"/>
                  <w:smallCaps w:val="false"/>
                  <w:sz w:val="20"/>
                </w:rPr>
                <w:t xml:space="preserve"> </w:t>
              </w:r>
            </w:hyperlink>
            <w:hyperlink w:anchor="SIGNATURESANDPOWEROFATTORNEY_596904">
              <w:r>
                <w:rPr>
                  <w:rStyle w:val="InternetLink"/>
                  <w:rFonts w:ascii="Times New Roman;Times;serif" w:hAnsi="Times New Roman;Times;serif"/>
                  <w:b w:val="false"/>
                  <w:i w:val="false"/>
                  <w:caps w:val="false"/>
                  <w:smallCaps w:val="false"/>
                  <w:sz w:val="20"/>
                </w:rPr>
                <w:t>hereto).</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 </w:t>
            </w:r>
          </w:p>
        </w:tc>
        <w:tc>
          <w:tcPr>
            <w:tcW w:w="8913"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MeiraGTx Holdings plc 2026 Employment Inducement Award Plan (incorporated by reference to Exhibit 10.13 to the Registrant’s Quarterly Report on Form 10-Q for the quarterly period ended June 30, 2026 (File No. 001-38520)).</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Option Grant Notice and Agreement under the MeiraGTx Holdings plc 2026 Employment Inducement Award Plan (incorporated by reference to Exhibit 10.14 to the Registrant’s Quarterly Report on Form 10-Q for the quarterly period ended June 30, 2026 (File No. 001-38520))</w:t>
              </w:r>
            </w:hyperlink>
            <w:r>
              <w:rPr>
                <w:rFonts w:ascii="Times New Roman;Times;serif" w:hAnsi="Times New Roman;Times;serif"/>
                <w:sz w:val="20"/>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99.3</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Restricted Share Unit Grant Notice and Agreement under the MeiraGTx Holdings plc 2026 Employment Inducement Award Plan (incorporated by reference to Exhibit 10.15 to the Registrant’s Quarterly Report on Form 10-Q for the quarterly period ended June 30, 2026 (File No. 001-38520)).</w:t>
              </w:r>
            </w:hyperlink>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both"/>
              <w:rPr/>
            </w:pPr>
            <w:hyperlink w:anchor="mgtx-20260813xexfees.htm">
              <w:r>
                <w:rPr>
                  <w:rStyle w:val="InternetLink"/>
                  <w:rFonts w:ascii="Times New Roman;Times;serif" w:hAnsi="Times New Roman;Times;serif"/>
                  <w:b w:val="false"/>
                  <w:i w:val="false"/>
                  <w:caps w:val="false"/>
                  <w:smallCaps w:val="false"/>
                  <w:sz w:val="20"/>
                </w:rPr>
                <w:t>Filing Fee Table</w:t>
              </w:r>
            </w:hyperlink>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13</w:t>
      </w:r>
      <w:r>
        <w:rPr>
          <w:rFonts w:ascii="Times New Roman;Times;serif" w:hAnsi="Times New Roman;Times;serif"/>
          <w:sz w:val="15"/>
        </w:rPr>
        <w:t>th</w:t>
      </w:r>
      <w:r>
        <w:rPr>
          <w:rFonts w:ascii="Times New Roman;Times;serif" w:hAnsi="Times New Roman;Times;serif"/>
          <w:sz w:val="20"/>
        </w:rPr>
        <w:t xml:space="preserve"> day of August 2026.</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124"/>
        <w:gridCol w:w="406"/>
        <w:gridCol w:w="3211"/>
      </w:tblGrid>
      <w:tr>
        <w:trPr/>
        <w:tc>
          <w:tcPr>
            <w:tcW w:w="124" w:type="dxa"/>
            <w:tcBorders/>
            <w:vAlign w:val="center"/>
          </w:tcPr>
          <w:p>
            <w:pPr>
              <w:pStyle w:val="TableContents"/>
              <w:bidi w:val="0"/>
              <w:spacing w:before="0" w:after="24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HOLDINGS PLC</w:t>
            </w:r>
          </w:p>
        </w:tc>
      </w:tr>
      <w:tr>
        <w:trPr/>
        <w:tc>
          <w:tcPr>
            <w:tcW w:w="124" w:type="dxa"/>
            <w:tcBorders/>
            <w:vAlign w:val="center"/>
          </w:tcPr>
          <w:p>
            <w:pPr>
              <w:pStyle w:val="TableContents"/>
              <w:bidi w:val="0"/>
              <w:spacing w:before="0" w:after="240"/>
              <w:ind w:left="0" w:right="0" w:hanging="0"/>
              <w:jc w:val="left"/>
              <w:rPr/>
            </w:pPr>
            <w:r>
              <w:rPr/>
              <w:t>​</w:t>
            </w:r>
          </w:p>
        </w:tc>
        <w:tc>
          <w:tcPr>
            <w:tcW w:w="3617" w:type="dxa"/>
            <w:gridSpan w:val="2"/>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Alexandria Forbes, Ph.D.</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Alexandria Forbes, Ph.D.</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 AND POWER OF ATTORNEY</w:t>
      </w:r>
      <w:bookmarkStart w:id="2" w:name="SIGNATURESANDPOWEROFATTORNEY_596904"/>
      <w:bookmarkEnd w:id="2"/>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the undersigned officers and directors of MeiraGTx Holdings plc, hereby severally constitute and appoint Alexandria Forbes, Ph.D., Richard Giroux and Robert J. Wollin,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28" w:type="dxa"/>
          <w:right w:w="0" w:type="dxa"/>
        </w:tblCellMar>
      </w:tblPr>
      <w:tblGrid>
        <w:gridCol w:w="1949"/>
        <w:gridCol w:w="146"/>
        <w:gridCol w:w="6798"/>
        <w:gridCol w:w="146"/>
        <w:gridCol w:w="1166"/>
      </w:tblGrid>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16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949" w:type="dxa"/>
            <w:tcBorders/>
            <w:tcMar>
              <w:bottom w:w="0" w:type="dxa"/>
            </w:tcMar>
            <w:vAlign w:val="center"/>
          </w:tcPr>
          <w:p>
            <w:pPr>
              <w:pStyle w:val="TableContents"/>
              <w:bidi w:val="0"/>
              <w:spacing w:before="0" w:after="0"/>
              <w:ind w:left="0" w:right="0" w:hanging="0"/>
              <w:jc w:val="center"/>
              <w:rPr/>
            </w:pPr>
            <w:r>
              <w:rPr/>
              <w:t> </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center"/>
              <w:rPr/>
            </w:pPr>
            <w:r>
              <w:rPr/>
              <w:t> </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166" w:type="dxa"/>
            <w:tcBorders/>
            <w:tcMar>
              <w:bottom w:w="0" w:type="dxa"/>
            </w:tcMar>
            <w:vAlign w:val="center"/>
          </w:tcPr>
          <w:p>
            <w:pPr>
              <w:pStyle w:val="TableContents"/>
              <w:bidi w:val="0"/>
              <w:spacing w:before="0" w:after="0"/>
              <w:ind w:left="0" w:right="0" w:hanging="0"/>
              <w:jc w:val="center"/>
              <w:rPr/>
            </w:pPr>
            <w:r>
              <w:rPr/>
              <w:t> </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Alexandria Forbes,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and Director </w:t>
              <w:br/>
              <w:t>(principal executive officer)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Alexandria Forbes,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 </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Richard Giroux</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br/>
              <w:t>(principal financial officer and principal accounting officer) and MeiraGTx Holdings plc’s authorized representative in the United States</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Richard Giroux</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 </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Keith R. Harris,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and Director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Keith R. Harris,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w:t>
            </w:r>
          </w:p>
        </w:tc>
        <w:tc>
          <w:tcPr>
            <w:tcW w:w="146" w:type="dxa"/>
            <w:tcBorders/>
            <w:tcMar>
              <w:bottom w:w="0" w:type="dxa"/>
            </w:tcMar>
            <w:vAlign w:val="center"/>
          </w:tcPr>
          <w:p>
            <w:pPr>
              <w:pStyle w:val="TableContents"/>
              <w:bidi w:val="0"/>
              <w:spacing w:before="0" w:after="0"/>
              <w:ind w:left="0" w:right="0" w:hanging="0"/>
              <w:jc w:val="center"/>
              <w:rPr/>
            </w:pPr>
            <w:r>
              <w:rPr/>
              <w:t>​</w:t>
            </w:r>
          </w:p>
        </w:tc>
        <w:tc>
          <w:tcPr>
            <w:tcW w:w="6798" w:type="dxa"/>
            <w:tcBorders/>
            <w:tcMar>
              <w:bottom w:w="0" w:type="dxa"/>
            </w:tcMar>
            <w:vAlign w:val="center"/>
          </w:tcPr>
          <w:p>
            <w:pPr>
              <w:pStyle w:val="TableContents"/>
              <w:bidi w:val="0"/>
              <w:spacing w:before="0" w:after="0"/>
              <w:ind w:left="0" w:right="0" w:hanging="0"/>
              <w:jc w:val="left"/>
              <w:rPr/>
            </w:pPr>
            <w:r>
              <w:rPr/>
              <w:t>​</w:t>
            </w:r>
          </w:p>
        </w:tc>
        <w:tc>
          <w:tcPr>
            <w:tcW w:w="146" w:type="dxa"/>
            <w:tcBorders/>
            <w:tcMar>
              <w:bottom w:w="0" w:type="dxa"/>
            </w:tcMar>
            <w:vAlign w:val="center"/>
          </w:tcPr>
          <w:p>
            <w:pPr>
              <w:pStyle w:val="TableContents"/>
              <w:bidi w:val="0"/>
              <w:spacing w:before="0" w:after="0"/>
              <w:ind w:left="0" w:right="0" w:hanging="0"/>
              <w:jc w:val="left"/>
              <w:rPr/>
            </w:pPr>
            <w:r>
              <w:rPr/>
              <w:t>​</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Ellen Hukkelhoven,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tcMar>
              <w:bottom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Ellen Hukkelhoven,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w:t>
            </w:r>
          </w:p>
        </w:tc>
        <w:tc>
          <w:tcPr>
            <w:tcW w:w="146" w:type="dxa"/>
            <w:tcBorders/>
            <w:tcMar>
              <w:bottom w:w="0" w:type="dxa"/>
            </w:tcMar>
            <w:vAlign w:val="center"/>
          </w:tcPr>
          <w:p>
            <w:pPr>
              <w:pStyle w:val="TableContents"/>
              <w:bidi w:val="0"/>
              <w:spacing w:before="0" w:after="0"/>
              <w:ind w:left="0" w:right="0" w:hanging="0"/>
              <w:jc w:val="center"/>
              <w:rPr/>
            </w:pPr>
            <w:r>
              <w:rPr/>
              <w:t>​</w:t>
            </w:r>
          </w:p>
        </w:tc>
        <w:tc>
          <w:tcPr>
            <w:tcW w:w="6798" w:type="dxa"/>
            <w:tcBorders/>
            <w:tcMar>
              <w:bottom w:w="0" w:type="dxa"/>
            </w:tcMar>
            <w:vAlign w:val="center"/>
          </w:tcPr>
          <w:p>
            <w:pPr>
              <w:pStyle w:val="TableContents"/>
              <w:bidi w:val="0"/>
              <w:spacing w:before="0" w:after="0"/>
              <w:ind w:left="0" w:right="0" w:hanging="0"/>
              <w:jc w:val="left"/>
              <w:rPr/>
            </w:pPr>
            <w:r>
              <w:rPr/>
              <w:t>​</w:t>
            </w:r>
          </w:p>
        </w:tc>
        <w:tc>
          <w:tcPr>
            <w:tcW w:w="146" w:type="dxa"/>
            <w:tcBorders/>
            <w:tcMar>
              <w:bottom w:w="0" w:type="dxa"/>
            </w:tcMar>
            <w:vAlign w:val="center"/>
          </w:tcPr>
          <w:p>
            <w:pPr>
              <w:pStyle w:val="TableContents"/>
              <w:bidi w:val="0"/>
              <w:spacing w:before="0" w:after="0"/>
              <w:ind w:left="0" w:right="0" w:hanging="0"/>
              <w:jc w:val="left"/>
              <w:rPr/>
            </w:pPr>
            <w:r>
              <w:rPr/>
              <w:t>​</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Lord Mendoza</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Lord Mendoza</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 </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Nicole Seligman</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Nicole Seligman</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w:t>
            </w:r>
          </w:p>
        </w:tc>
        <w:tc>
          <w:tcPr>
            <w:tcW w:w="146" w:type="dxa"/>
            <w:tcBorders/>
            <w:tcMar>
              <w:bottom w:w="0" w:type="dxa"/>
            </w:tcMar>
            <w:vAlign w:val="center"/>
          </w:tcPr>
          <w:p>
            <w:pPr>
              <w:pStyle w:val="TableContents"/>
              <w:bidi w:val="0"/>
              <w:spacing w:before="0" w:after="0"/>
              <w:ind w:left="0" w:right="0" w:hanging="0"/>
              <w:jc w:val="center"/>
              <w:rPr/>
            </w:pPr>
            <w:r>
              <w:rPr/>
              <w:t>​</w:t>
            </w:r>
          </w:p>
        </w:tc>
        <w:tc>
          <w:tcPr>
            <w:tcW w:w="6798" w:type="dxa"/>
            <w:tcBorders/>
            <w:tcMar>
              <w:bottom w:w="0" w:type="dxa"/>
            </w:tcMar>
            <w:vAlign w:val="center"/>
          </w:tcPr>
          <w:p>
            <w:pPr>
              <w:pStyle w:val="TableContents"/>
              <w:bidi w:val="0"/>
              <w:spacing w:before="0" w:after="0"/>
              <w:ind w:left="0" w:right="0" w:hanging="0"/>
              <w:jc w:val="left"/>
              <w:rPr/>
            </w:pPr>
            <w:r>
              <w:rPr/>
              <w:t>​</w:t>
            </w:r>
          </w:p>
        </w:tc>
        <w:tc>
          <w:tcPr>
            <w:tcW w:w="146" w:type="dxa"/>
            <w:tcBorders/>
            <w:tcMar>
              <w:bottom w:w="0" w:type="dxa"/>
            </w:tcMar>
            <w:vAlign w:val="center"/>
          </w:tcPr>
          <w:p>
            <w:pPr>
              <w:pStyle w:val="TableContents"/>
              <w:bidi w:val="0"/>
              <w:spacing w:before="0" w:after="0"/>
              <w:ind w:left="0" w:right="0" w:hanging="0"/>
              <w:jc w:val="left"/>
              <w:rPr/>
            </w:pPr>
            <w:r>
              <w:rPr/>
              <w:t>​</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Thomas E. Shenk,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Thomas E. Shenk, Ph.D.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tcMar>
              <w:bottom w:w="0" w:type="dxa"/>
            </w:tcMar>
            <w:vAlign w:val="center"/>
          </w:tcPr>
          <w:p>
            <w:pPr>
              <w:pStyle w:val="TableContents"/>
              <w:bidi w:val="0"/>
              <w:spacing w:before="0" w:after="0"/>
              <w:ind w:left="0" w:right="0" w:hanging="0"/>
              <w:jc w:val="center"/>
              <w:rPr/>
            </w:pPr>
            <w:r>
              <w:rPr/>
              <w:t>​</w:t>
            </w:r>
          </w:p>
        </w:tc>
        <w:tc>
          <w:tcPr>
            <w:tcW w:w="146" w:type="dxa"/>
            <w:tcBorders/>
            <w:tcMar>
              <w:bottom w:w="0" w:type="dxa"/>
            </w:tcMar>
            <w:vAlign w:val="center"/>
          </w:tcPr>
          <w:p>
            <w:pPr>
              <w:pStyle w:val="TableContents"/>
              <w:bidi w:val="0"/>
              <w:spacing w:before="0" w:after="0"/>
              <w:ind w:left="0" w:right="0" w:hanging="0"/>
              <w:jc w:val="center"/>
              <w:rPr/>
            </w:pPr>
            <w:r>
              <w:rPr/>
              <w:t>​</w:t>
            </w:r>
          </w:p>
        </w:tc>
        <w:tc>
          <w:tcPr>
            <w:tcW w:w="6798" w:type="dxa"/>
            <w:tcBorders/>
            <w:tcMar>
              <w:bottom w:w="0" w:type="dxa"/>
            </w:tcMar>
            <w:vAlign w:val="center"/>
          </w:tcPr>
          <w:p>
            <w:pPr>
              <w:pStyle w:val="TableContents"/>
              <w:bidi w:val="0"/>
              <w:spacing w:before="0" w:after="0"/>
              <w:ind w:left="0" w:right="0" w:hanging="0"/>
              <w:jc w:val="left"/>
              <w:rPr/>
            </w:pPr>
            <w:r>
              <w:rPr/>
              <w:t>​</w:t>
            </w:r>
          </w:p>
        </w:tc>
        <w:tc>
          <w:tcPr>
            <w:tcW w:w="146" w:type="dxa"/>
            <w:tcBorders/>
            <w:tcMar>
              <w:bottom w:w="0" w:type="dxa"/>
            </w:tcMar>
            <w:vAlign w:val="center"/>
          </w:tcPr>
          <w:p>
            <w:pPr>
              <w:pStyle w:val="TableContents"/>
              <w:bidi w:val="0"/>
              <w:spacing w:before="0" w:after="0"/>
              <w:ind w:left="0" w:right="0" w:hanging="0"/>
              <w:jc w:val="left"/>
              <w:rPr/>
            </w:pPr>
            <w:r>
              <w:rPr/>
              <w:t>​</w:t>
            </w:r>
          </w:p>
        </w:tc>
        <w:tc>
          <w:tcPr>
            <w:tcW w:w="1166" w:type="dxa"/>
            <w:tcBorders/>
            <w:tcMar>
              <w:bottom w:w="0" w:type="dxa"/>
            </w:tcMar>
            <w:vAlign w:val="center"/>
          </w:tcPr>
          <w:p>
            <w:pPr>
              <w:pStyle w:val="TableContents"/>
              <w:bidi w:val="0"/>
              <w:spacing w:before="0" w:after="0"/>
              <w:ind w:left="0" w:right="0" w:hanging="0"/>
              <w:jc w:val="center"/>
              <w:rPr/>
            </w:pPr>
            <w:r>
              <w:rPr/>
              <w:t>​</w:t>
            </w:r>
          </w:p>
        </w:tc>
      </w:tr>
      <w:tr>
        <w:trPr/>
        <w:tc>
          <w:tcPr>
            <w:tcW w:w="19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Debra Yu, M.D.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13, 2026</w:t>
            </w:r>
          </w:p>
        </w:tc>
      </w:tr>
      <w:tr>
        <w:trPr/>
        <w:tc>
          <w:tcPr>
            <w:tcW w:w="1949"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Debra Yu, M.D.</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6798" w:type="dxa"/>
            <w:tcBorders/>
            <w:tcMar>
              <w:bottom w:w="0" w:type="dxa"/>
            </w:tcMar>
            <w:vAlign w:val="center"/>
          </w:tcPr>
          <w:p>
            <w:pPr>
              <w:pStyle w:val="TableContents"/>
              <w:bidi w:val="0"/>
              <w:spacing w:before="0" w:after="0"/>
              <w:ind w:left="0" w:right="0" w:hanging="0"/>
              <w:jc w:val="left"/>
              <w:rPr/>
            </w:pPr>
            <w:r>
              <w:rPr/>
              <w:t> </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166"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 w:name="mgtx-20260813xex5d1.htm"/>
      <w:bookmarkStart w:id="4" w:name="ksmgtx20260813xex5d1"/>
      <w:bookmarkEnd w:id="3"/>
      <w:bookmarkEnd w:id="4"/>
      <w:r>
        <w:rPr/>
        <w:t>​</w:t>
      </w:r>
      <w:r>
        <w:br w:type="page"/>
      </w:r>
    </w:p>
    <w:tbl>
      <w:tblPr>
        <w:tblW w:w="3340" w:type="dxa"/>
        <w:jc w:val="center"/>
        <w:tblInd w:w="0" w:type="dxa"/>
        <w:tblLayout w:type="fixed"/>
        <w:tblCellMar>
          <w:top w:w="0" w:type="dxa"/>
          <w:left w:w="0" w:type="dxa"/>
          <w:bottom w:w="0" w:type="dxa"/>
          <w:right w:w="0" w:type="dxa"/>
        </w:tblCellMar>
      </w:tblPr>
      <w:tblGrid>
        <w:gridCol w:w="2259"/>
        <w:gridCol w:w="1081"/>
      </w:tblGrid>
      <w:tr>
        <w:trPr/>
        <w:tc>
          <w:tcPr>
            <w:tcW w:w="2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34465" cy="175260"/>
                      <wp:effectExtent l="0" t="0" r="0" b="0"/>
                      <wp:wrapNone/>
                      <wp:docPr id="1" name="Frame1"/>
                      <a:graphic xmlns:a="http://schemas.openxmlformats.org/drawingml/2006/main">
                        <a:graphicData uri="http://schemas.microsoft.com/office/word/2010/wordprocessingShape">
                          <wps:wsp>
                            <wps:cNvSpPr txBox="1"/>
                            <wps:spPr>
                              <a:xfrm>
                                <a:off x="0" y="0"/>
                                <a:ext cx="143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0"/>
              <w:ind w:left="0" w:right="0" w:hanging="0"/>
              <w:jc w:val="left"/>
              <w:rPr/>
            </w:pPr>
            <w:r>
              <w:rPr/>
              <w:t>​</w:t>
            </w:r>
          </w:p>
        </w:tc>
      </w:tr>
      <w:tr>
        <w:trPr/>
        <w:tc>
          <w:tcPr>
            <w:tcW w:w="2259" w:type="dxa"/>
            <w:tcBorders/>
            <w:vAlign w:val="center"/>
          </w:tcPr>
          <w:p>
            <w:pPr>
              <w:pStyle w:val="TableContents"/>
              <w:bidi w:val="0"/>
              <w:spacing w:before="0" w:after="0"/>
              <w:ind w:left="0" w:right="0" w:hanging="0"/>
              <w:jc w:val="left"/>
              <w:rPr/>
            </w:pPr>
            <w:r>
              <w:rPr/>
              <w:drawing>
                <wp:inline distT="0" distB="0" distL="0" distR="0">
                  <wp:extent cx="1370330" cy="26797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1"/>
                          <a:stretch>
                            <a:fillRect/>
                          </a:stretch>
                        </pic:blipFill>
                        <pic:spPr bwMode="auto">
                          <a:xfrm>
                            <a:off x="0" y="0"/>
                            <a:ext cx="1370330" cy="267970"/>
                          </a:xfrm>
                          <a:prstGeom prst="rect">
                            <a:avLst/>
                          </a:prstGeom>
                        </pic:spPr>
                      </pic:pic>
                    </a:graphicData>
                  </a:graphic>
                </wp:inline>
              </w:drawing>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Exhibit 5.1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5597" w:type="dxa"/>
        <w:jc w:val="center"/>
        <w:tblInd w:w="0" w:type="dxa"/>
        <w:tblLayout w:type="fixed"/>
        <w:tblCellMar>
          <w:top w:w="0" w:type="dxa"/>
          <w:left w:w="0" w:type="dxa"/>
          <w:bottom w:w="0" w:type="dxa"/>
          <w:right w:w="0" w:type="dxa"/>
        </w:tblCellMar>
      </w:tblPr>
      <w:tblGrid>
        <w:gridCol w:w="2746"/>
        <w:gridCol w:w="285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43710" cy="175260"/>
                      <wp:effectExtent l="0" t="0" r="0" b="0"/>
                      <wp:wrapNone/>
                      <wp:docPr id="3" name="Frame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10385" cy="175260"/>
                      <wp:effectExtent l="0" t="0" r="0" b="0"/>
                      <wp:wrapNone/>
                      <wp:docPr id="4" name="Frame3"/>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13 August 2026</w:t>
            </w:r>
          </w:p>
        </w:tc>
        <w:tc>
          <w:tcPr>
            <w:tcW w:w="28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Our Ref: ME/kg/M6113-151627</w:t>
            </w:r>
          </w:p>
        </w:tc>
      </w:tr>
      <w:tr>
        <w:trPr/>
        <w:tc>
          <w:tcPr>
            <w:tcW w:w="2746" w:type="dxa"/>
            <w:tcBorders/>
            <w:vAlign w:val="center"/>
          </w:tcPr>
          <w:p>
            <w:pPr>
              <w:pStyle w:val="TableContents"/>
              <w:bidi w:val="0"/>
              <w:spacing w:before="0" w:after="0"/>
              <w:ind w:left="0" w:right="0" w:hanging="0"/>
              <w:jc w:val="left"/>
              <w:rPr/>
            </w:pPr>
            <w:r>
              <w:rPr/>
              <w:t>​</w:t>
            </w:r>
          </w:p>
        </w:tc>
        <w:tc>
          <w:tcPr>
            <w:tcW w:w="2851" w:type="dxa"/>
            <w:tcBorders/>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MeiraGTx Holdings plc</w:t>
            </w:r>
          </w:p>
        </w:tc>
        <w:tc>
          <w:tcPr>
            <w:tcW w:w="285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 Walkers Corporate Limited</w:t>
            </w:r>
          </w:p>
        </w:tc>
        <w:tc>
          <w:tcPr>
            <w:tcW w:w="285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190 Elgin Avenue</w:t>
            </w:r>
          </w:p>
        </w:tc>
        <w:tc>
          <w:tcPr>
            <w:tcW w:w="285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George Town</w:t>
            </w:r>
          </w:p>
        </w:tc>
        <w:tc>
          <w:tcPr>
            <w:tcW w:w="285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Grand Cayman KY1-9008 </w:t>
            </w:r>
          </w:p>
        </w:tc>
        <w:tc>
          <w:tcPr>
            <w:tcW w:w="285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Cayman Islands</w:t>
            </w:r>
          </w:p>
        </w:tc>
        <w:tc>
          <w:tcPr>
            <w:tcW w:w="28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Dear Addressees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MEIRAGTX HOLDINGS PLC</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We have been asked to provide this legal opinion to you with regard to the laws of the Cayman Islands in connection with the registration by MeiraGTx Holdings plc (the "</w:t>
      </w:r>
      <w:r>
        <w:rPr>
          <w:rFonts w:ascii="Arial;Helvetica;sans-serif" w:hAnsi="Arial;Helvetica;sans-serif"/>
          <w:b/>
          <w:sz w:val="20"/>
        </w:rPr>
        <w:t>Company</w:t>
      </w:r>
      <w:r>
        <w:rPr>
          <w:rFonts w:ascii="Arial;Helvetica;sans-serif" w:hAnsi="Arial;Helvetica;sans-serif"/>
          <w:sz w:val="20"/>
        </w:rPr>
        <w:t>"), of 1,000,000 ordinary shares with a nominal value of $0.00003881 per share in the capital of the Company (the "</w:t>
      </w:r>
      <w:r>
        <w:rPr>
          <w:rFonts w:ascii="Arial;Helvetica;sans-serif" w:hAnsi="Arial;Helvetica;sans-serif"/>
          <w:b/>
          <w:sz w:val="20"/>
        </w:rPr>
        <w:t>Shares</w:t>
      </w:r>
      <w:r>
        <w:rPr>
          <w:rFonts w:ascii="Arial;Helvetica;sans-serif" w:hAnsi="Arial;Helvetica;sans-serif"/>
          <w:sz w:val="20"/>
        </w:rPr>
        <w:t>") for issuance under the MeiraGTx Holdings plc 2026 Employment Inducement Award Plan (the "</w:t>
      </w:r>
      <w:r>
        <w:rPr>
          <w:rFonts w:ascii="Arial;Helvetica;sans-serif" w:hAnsi="Arial;Helvetica;sans-serif"/>
          <w:b/>
          <w:sz w:val="20"/>
        </w:rPr>
        <w:t>Plan</w:t>
      </w:r>
      <w:r>
        <w:rPr>
          <w:rFonts w:ascii="Arial;Helvetica;sans-serif" w:hAnsi="Arial;Helvetica;sans-serif"/>
          <w:sz w:val="20"/>
        </w:rPr>
        <w:t>"), under the United States Securities Act of 1933, as amended (the "</w:t>
      </w:r>
      <w:r>
        <w:rPr>
          <w:rFonts w:ascii="Arial;Helvetica;sans-serif" w:hAnsi="Arial;Helvetica;sans-serif"/>
          <w:b/>
          <w:sz w:val="20"/>
        </w:rPr>
        <w:t>Securities Act</w:t>
      </w:r>
      <w:r>
        <w:rPr>
          <w:rFonts w:ascii="Arial;Helvetica;sans-serif" w:hAnsi="Arial;Helvetica;sans-serif"/>
          <w:sz w:val="20"/>
        </w:rPr>
        <w:t>") and pursuant to the terms of the Registration Statement (as defined in Schedule 1).</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For the purposes of giving this opinion, we have examined and relied upon the originals, copies or translations of the documents listed in Schedule 1.</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Based upon the foregoing examinations and the assumptions and qualifications set out below and having regard to legal considerations which we consider relevant, and under the laws of the Cayman Islands, as at the date hereof, we give the following opinions in relation to the matters set out below.</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005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Company is an exempted company duly incorporated with limited liability, validly existing under the laws of the Cayman Islands and in good standing with the Registrar of Companies in the Cayman Islands (the "</w:t>
            </w:r>
            <w:r>
              <w:rPr>
                <w:rFonts w:ascii="Arial;Helvetica;sans-serif" w:hAnsi="Arial;Helvetica;sans-serif"/>
                <w:b/>
                <w:i w:val="false"/>
                <w:caps w:val="false"/>
                <w:smallCaps w:val="false"/>
                <w:sz w:val="20"/>
              </w:rPr>
              <w:t>Registrar</w:t>
            </w:r>
            <w:r>
              <w:rPr>
                <w:rFonts w:ascii="Arial;Helvetica;sans-serif" w:hAnsi="Arial;Helvetica;san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Shares have been duly authorised by all necessary corporate action of the Company, and upon the issue of the Shares (by the entry of the name of the registered owner thereof in the Register of Members of the Company confirming that such Shares have been issued and credited as fully paid), delivery and payment therefor by the purchaser in accordance with the Memorandum and Articles (as defined in Schedule</w:t>
            </w:r>
          </w:p>
        </w:tc>
      </w:tr>
    </w:tbl>
    <w:p>
      <w:pPr>
        <w:pStyle w:val="TextBody"/>
        <w:bidi w:val="0"/>
        <w:spacing w:before="0" w:after="0"/>
        <w:ind w:left="0" w:right="0" w:hanging="0"/>
        <w:jc w:val="left"/>
        <w:rPr/>
      </w:pPr>
      <w:r>
        <w:rPr/>
        <w:t>​</w:t>
      </w:r>
    </w:p>
    <w:p>
      <w:pPr>
        <w:pStyle w:val="TextBody"/>
        <w:bidi w:val="0"/>
        <w:spacing w:before="480" w:after="120"/>
        <w:ind w:left="0" w:right="0" w:hanging="0"/>
        <w:jc w:val="right"/>
        <w:rPr>
          <w:rFonts w:ascii="Segoe UI" w:hAnsi="Segoe UI"/>
          <w:b/>
          <w:sz w:val="22"/>
        </w:rPr>
      </w:pPr>
      <w:r>
        <w:rPr>
          <w:rFonts w:ascii="Segoe UI" w:hAnsi="Segoe UI"/>
          <w:b/>
          <w:sz w:val="22"/>
        </w:rPr>
        <w:t>Walkers</w:t>
      </w:r>
    </w:p>
    <w:p>
      <w:pPr>
        <w:pStyle w:val="TextBody"/>
        <w:bidi w:val="0"/>
        <w:spacing w:before="0" w:after="120"/>
        <w:ind w:left="0" w:right="0" w:hanging="0"/>
        <w:jc w:val="right"/>
        <w:rPr>
          <w:rFonts w:ascii="Segoe UI" w:hAnsi="Segoe UI"/>
          <w:sz w:val="14"/>
        </w:rPr>
      </w:pPr>
      <w:r>
        <w:rPr>
          <w:rFonts w:ascii="Segoe UI" w:hAnsi="Segoe UI"/>
          <w:sz w:val="14"/>
        </w:rPr>
        <w:t>190 Elgin Avenue, George Town</w:t>
      </w:r>
    </w:p>
    <w:p>
      <w:pPr>
        <w:pStyle w:val="TextBody"/>
        <w:bidi w:val="0"/>
        <w:spacing w:before="0" w:after="120"/>
        <w:ind w:left="0" w:right="0" w:hanging="0"/>
        <w:jc w:val="right"/>
        <w:rPr>
          <w:rFonts w:ascii="Segoe UI" w:hAnsi="Segoe UI"/>
          <w:sz w:val="14"/>
        </w:rPr>
      </w:pPr>
      <w:r>
        <w:rPr>
          <w:rFonts w:ascii="Segoe UI" w:hAnsi="Segoe UI"/>
          <w:sz w:val="14"/>
        </w:rPr>
        <w:t>Grand Cayman KY1-9001, Cayman Islands</w:t>
      </w:r>
    </w:p>
    <w:p>
      <w:pPr>
        <w:pStyle w:val="TextBody"/>
        <w:bidi w:val="0"/>
        <w:spacing w:before="0" w:after="120"/>
        <w:ind w:left="0" w:right="0" w:hanging="0"/>
        <w:jc w:val="right"/>
        <w:rPr>
          <w:rFonts w:ascii="Arial;Helvetica;sans-serif" w:hAnsi="Arial;Helvetica;sans-serif"/>
          <w:sz w:val="14"/>
        </w:rPr>
      </w:pPr>
      <w:r>
        <w:rPr>
          <w:rFonts w:ascii="Segoe UI" w:hAnsi="Segoe UI"/>
          <w:b/>
          <w:sz w:val="14"/>
        </w:rPr>
        <w:t xml:space="preserve">T </w:t>
      </w:r>
      <w:r>
        <w:rPr>
          <w:rFonts w:ascii="Segoe UI" w:hAnsi="Segoe UI"/>
          <w:sz w:val="14"/>
        </w:rPr>
        <w:t xml:space="preserve">+1 345 949 0100 </w:t>
      </w:r>
      <w:r>
        <w:rPr>
          <w:rFonts w:ascii="Segoe UI" w:hAnsi="Segoe UI"/>
          <w:b/>
          <w:sz w:val="14"/>
        </w:rPr>
        <w:t xml:space="preserve">F </w:t>
      </w:r>
      <w:r>
        <w:rPr>
          <w:rFonts w:ascii="Segoe UI" w:hAnsi="Segoe UI"/>
          <w:sz w:val="14"/>
        </w:rPr>
        <w:t>+1 345 949 7886 www.walkersglobal.com</w:t>
      </w:r>
    </w:p>
    <w:p>
      <w:pPr>
        <w:pStyle w:val="HorizontalLine"/>
        <w:pBdr>
          <w:bottom w:val="double" w:sz="2" w:space="0" w:color="808080"/>
        </w:pBdr>
        <w:bidi w:val="0"/>
        <w:spacing w:before="0" w:after="283"/>
        <w:jc w:val="left"/>
        <w:rPr/>
      </w:pPr>
      <w:r>
        <w:rPr/>
      </w:r>
    </w:p>
    <w:tbl>
      <w:tblPr>
        <w:tblW w:w="1971" w:type="dxa"/>
        <w:jc w:val="left"/>
        <w:tblInd w:w="0" w:type="dxa"/>
        <w:tblLayout w:type="fixed"/>
        <w:tblCellMar>
          <w:top w:w="0" w:type="dxa"/>
          <w:left w:w="0" w:type="dxa"/>
          <w:bottom w:w="0" w:type="dxa"/>
          <w:right w:w="0" w:type="dxa"/>
        </w:tblCellMar>
      </w:tblPr>
      <w:tblGrid>
        <w:gridCol w:w="1096"/>
        <w:gridCol w:w="109"/>
        <w:gridCol w:w="766"/>
      </w:tblGrid>
      <w:tr>
        <w:trPr/>
        <w:tc>
          <w:tcPr>
            <w:tcW w:w="1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60"/>
              <w:ind w:left="0" w:right="0" w:hanging="0"/>
              <w:jc w:val="left"/>
              <w:rPr>
                <w:rFonts w:ascii="Arial;Helvetica;sans-serif" w:hAnsi="Arial;Helvetica;sans-serif"/>
                <w:b/>
                <w:sz w:val="20"/>
              </w:rPr>
            </w:pPr>
            <w:r>
              <w:rPr>
                <w:rFonts w:ascii="Arial;Helvetica;sans-serif" w:hAnsi="Arial;Helvetica;sans-serif"/>
                <w:b/>
                <w:sz w:val="20"/>
              </w:rPr>
              <w:t>WALKERS</w:t>
            </w:r>
          </w:p>
        </w:tc>
        <w:tc>
          <w:tcPr>
            <w:tcW w:w="109" w:type="dxa"/>
            <w:tcBorders/>
            <w:vAlign w:val="center"/>
          </w:tcPr>
          <w:p>
            <w:pPr>
              <w:pStyle w:val="TableContents"/>
              <w:bidi w:val="0"/>
              <w:spacing w:before="0" w:after="60"/>
              <w:ind w:left="0" w:right="0" w:hanging="0"/>
              <w:jc w:val="left"/>
              <w:rPr/>
            </w:pPr>
            <w:r>
              <w:rPr/>
              <w:t>​</w:t>
            </w:r>
          </w:p>
        </w:tc>
        <w:tc>
          <w:tcPr>
            <w:tcW w:w="76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Page 2</w:t>
            </w:r>
          </w:p>
        </w:tc>
      </w:tr>
    </w:tbl>
    <w:p>
      <w:pPr>
        <w:pStyle w:val="TextBody"/>
        <w:bidi w:val="0"/>
        <w:spacing w:before="0" w:after="0"/>
        <w:ind w:left="0" w:right="0" w:hanging="0"/>
        <w:jc w:val="left"/>
        <w:rPr/>
      </w:pPr>
      <w:r>
        <w:rPr/>
        <w:t>​</w:t>
      </w:r>
    </w:p>
    <w:p>
      <w:pPr>
        <w:pStyle w:val="TextBody"/>
        <w:bidi w:val="0"/>
        <w:spacing w:before="0" w:after="60"/>
        <w:ind w:left="0" w:right="0" w:hanging="0"/>
        <w:jc w:val="right"/>
        <w:rPr/>
      </w:pPr>
      <w:r>
        <w:rPr/>
        <w:t>​</w:t>
      </w:r>
    </w:p>
    <w:p>
      <w:pPr>
        <w:pStyle w:val="TextBody"/>
        <w:bidi w:val="0"/>
        <w:spacing w:before="0" w:after="240"/>
        <w:ind w:left="720" w:right="0" w:hanging="0"/>
        <w:jc w:val="both"/>
        <w:rPr>
          <w:rFonts w:ascii="Arial;Helvetica;sans-serif" w:hAnsi="Arial;Helvetica;sans-serif"/>
          <w:sz w:val="20"/>
        </w:rPr>
      </w:pPr>
      <w:r>
        <w:rPr>
          <w:rFonts w:ascii="Arial;Helvetica;sans-serif" w:hAnsi="Arial;Helvetica;sans-serif"/>
          <w:sz w:val="20"/>
        </w:rPr>
        <w:t>1) and the Plan and in the manner contemplated by the Registration Statement and the Prospectus (as each term is defined in Schedule 1), the Shares will be validly issued, fully paid and non-assessable (meaning that no additional sums may be levied in respect of the Shares on the holder thereof by the Company).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foregoing opinions are given based on the following assumptions.</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00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originals of all documents examined in connection with this opinion are authentic. The signatures, initials and seals on the Documents and the Resolutions (each as defined in Schedule 1) are genuine and are those of a person or persons stated therein. All documents purporting to be sealed have been so sealed. All copies are complete and conform to their originals. Any translations are a complete and accurate translation of the original document they purport to translate. The Documents conform in every material respect to the latest drafts of the same produced to us and, where provided in successive drafts, have been marked up to indicate all changes to such Documents.</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Memorandum and Articles (as defined in Schedule 1) will be the memorandum and articles of association of the Company in effect at the time of the issue of the Shares.</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3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relied upon the statements and representations of directors, officers and other representatives of the Company as to factual matters.</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receive consideration in money or money’s worth for each Share when issued, such price in any event not being less than the stated par or nominal value of each Share.</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Resolutions (defined in Schedule 1) are and shall remain in full force and effect and have not been and will not be rescinded or amended.</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10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the Registration Statement and the Plan (including each grant notice and agreement issued pursuant thereto) will be duly authorised, executed and delivered by or on behalf of all relevant parties prior to the issue of the Shares and will be legal, valid, binding and enforceable against all relevant parties in accordance with their terms under all relevant laws (other than the laws of the Cayman Islands).</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7.</w:t>
            </w:r>
          </w:p>
        </w:tc>
        <w:tc>
          <w:tcPr>
            <w:tcW w:w="1005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power, authority and legal right of all parties under all relevant laws and regulations (other than the Company under the laws of the Cayman Islands) to enter into, execute and perform their respective obligations under the Documents.</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8.</w:t>
            </w:r>
          </w:p>
        </w:tc>
        <w:tc>
          <w:tcPr>
            <w:tcW w:w="10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preconditions to the issue of the Shares under the terms of the Plan will be satisfied or duly waived prior to the issue of the Shares and there will be no breach of the terms of the Plan.</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9.</w:t>
            </w:r>
          </w:p>
        </w:tc>
        <w:tc>
          <w:tcPr>
            <w:tcW w:w="100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is nothing under any law (other than the laws of the Cayman Islands) which would or might affect any of the opinions set forth above.</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opinion as to good standing is based solely upon receipt of the Certificate of Good Standing (as defined in Schedule 1) issued by the Registrar. The Company shall be deemed to be in good standing under section 200A of the Companies Act (as amended) of the Cayman Islands (the "</w:t>
      </w:r>
      <w:r>
        <w:rPr>
          <w:rFonts w:ascii="Arial;Helvetica;sans-serif" w:hAnsi="Arial;Helvetica;sans-serif"/>
          <w:b/>
          <w:sz w:val="20"/>
        </w:rPr>
        <w:t>Companies Act</w:t>
      </w:r>
      <w:r>
        <w:rPr>
          <w:rFonts w:ascii="Arial;Helvetica;sans-serif" w:hAnsi="Arial;Helvetica;sans-serif"/>
          <w:sz w:val="20"/>
        </w:rPr>
        <w:t xml:space="preserve">") on the date of issue of the certificate if all fees and penalties under the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971" w:type="dxa"/>
        <w:jc w:val="left"/>
        <w:tblInd w:w="0" w:type="dxa"/>
        <w:tblLayout w:type="fixed"/>
        <w:tblCellMar>
          <w:top w:w="0" w:type="dxa"/>
          <w:left w:w="0" w:type="dxa"/>
          <w:bottom w:w="0" w:type="dxa"/>
          <w:right w:w="0" w:type="dxa"/>
        </w:tblCellMar>
      </w:tblPr>
      <w:tblGrid>
        <w:gridCol w:w="1096"/>
        <w:gridCol w:w="109"/>
        <w:gridCol w:w="766"/>
      </w:tblGrid>
      <w:tr>
        <w:trPr/>
        <w:tc>
          <w:tcPr>
            <w:tcW w:w="1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60"/>
              <w:ind w:left="0" w:right="0" w:hanging="0"/>
              <w:jc w:val="left"/>
              <w:rPr>
                <w:rFonts w:ascii="Arial;Helvetica;sans-serif" w:hAnsi="Arial;Helvetica;sans-serif"/>
                <w:b/>
                <w:sz w:val="20"/>
              </w:rPr>
            </w:pPr>
            <w:r>
              <w:rPr>
                <w:rFonts w:ascii="Arial;Helvetica;sans-serif" w:hAnsi="Arial;Helvetica;sans-serif"/>
                <w:b/>
                <w:sz w:val="20"/>
              </w:rPr>
              <w:t>WALKERS</w:t>
            </w:r>
          </w:p>
        </w:tc>
        <w:tc>
          <w:tcPr>
            <w:tcW w:w="109" w:type="dxa"/>
            <w:tcBorders/>
            <w:vAlign w:val="center"/>
          </w:tcPr>
          <w:p>
            <w:pPr>
              <w:pStyle w:val="TableContents"/>
              <w:bidi w:val="0"/>
              <w:spacing w:before="0" w:after="60"/>
              <w:ind w:left="0" w:right="0" w:hanging="0"/>
              <w:jc w:val="left"/>
              <w:rPr/>
            </w:pPr>
            <w:r>
              <w:rPr/>
              <w:t>​</w:t>
            </w:r>
          </w:p>
        </w:tc>
        <w:tc>
          <w:tcPr>
            <w:tcW w:w="76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Page 3</w:t>
            </w:r>
          </w:p>
        </w:tc>
      </w:tr>
    </w:tbl>
    <w:p>
      <w:pPr>
        <w:pStyle w:val="TextBody"/>
        <w:bidi w:val="0"/>
        <w:spacing w:before="0" w:after="0"/>
        <w:ind w:left="0" w:right="0" w:hanging="0"/>
        <w:jc w:val="left"/>
        <w:rPr/>
      </w:pPr>
      <w:r>
        <w:rPr/>
        <w:t>​</w:t>
      </w:r>
    </w:p>
    <w:p>
      <w:pPr>
        <w:pStyle w:val="TextBody"/>
        <w:bidi w:val="0"/>
        <w:spacing w:before="0" w:after="60"/>
        <w:ind w:left="0" w:right="0" w:hanging="0"/>
        <w:jc w:val="righ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Companies Act have been paid and the Registrar has no knowledge that the Company is in default under the Companies Act.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This opinion shall be construed in accordance with the laws of the Cayman Islands.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hereby consent to the filing of this opinion as an exhibit to the Registration Statement and to the references to our firm, as Cayman Islands counsel to the Company, in the Registration Statement.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Yours faithfully</w:t>
      </w:r>
    </w:p>
    <w:p>
      <w:pPr>
        <w:pStyle w:val="TextBody"/>
        <w:bidi w:val="0"/>
        <w:spacing w:before="0" w:after="120"/>
        <w:ind w:left="0" w:right="0" w:hanging="0"/>
        <w:jc w:val="left"/>
        <w:rPr/>
      </w:pPr>
      <w:r>
        <w:rPr/>
        <w:drawing>
          <wp:inline distT="0" distB="0" distL="0" distR="0">
            <wp:extent cx="857250" cy="60261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22"/>
                    <a:stretch>
                      <a:fillRect/>
                    </a:stretch>
                  </pic:blipFill>
                  <pic:spPr bwMode="auto">
                    <a:xfrm>
                      <a:off x="0" y="0"/>
                      <a:ext cx="857250" cy="602615"/>
                    </a:xfrm>
                    <a:prstGeom prst="rect">
                      <a:avLst/>
                    </a:prstGeom>
                  </pic:spPr>
                </pic:pic>
              </a:graphicData>
            </a:graphic>
          </wp:inline>
        </w:drawing>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Walkers (Cayman) LLP</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971" w:type="dxa"/>
        <w:jc w:val="left"/>
        <w:tblInd w:w="0" w:type="dxa"/>
        <w:tblLayout w:type="fixed"/>
        <w:tblCellMar>
          <w:top w:w="0" w:type="dxa"/>
          <w:left w:w="0" w:type="dxa"/>
          <w:bottom w:w="0" w:type="dxa"/>
          <w:right w:w="0" w:type="dxa"/>
        </w:tblCellMar>
      </w:tblPr>
      <w:tblGrid>
        <w:gridCol w:w="1096"/>
        <w:gridCol w:w="109"/>
        <w:gridCol w:w="766"/>
      </w:tblGrid>
      <w:tr>
        <w:trPr/>
        <w:tc>
          <w:tcPr>
            <w:tcW w:w="1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60"/>
              <w:ind w:left="0" w:right="0" w:hanging="0"/>
              <w:jc w:val="left"/>
              <w:rPr>
                <w:rFonts w:ascii="Arial;Helvetica;sans-serif" w:hAnsi="Arial;Helvetica;sans-serif"/>
                <w:b/>
                <w:sz w:val="20"/>
              </w:rPr>
            </w:pPr>
            <w:r>
              <w:rPr>
                <w:rFonts w:ascii="Arial;Helvetica;sans-serif" w:hAnsi="Arial;Helvetica;sans-serif"/>
                <w:b/>
                <w:sz w:val="20"/>
              </w:rPr>
              <w:t>WALKERS</w:t>
            </w:r>
          </w:p>
        </w:tc>
        <w:tc>
          <w:tcPr>
            <w:tcW w:w="109" w:type="dxa"/>
            <w:tcBorders/>
            <w:vAlign w:val="center"/>
          </w:tcPr>
          <w:p>
            <w:pPr>
              <w:pStyle w:val="TableContents"/>
              <w:bidi w:val="0"/>
              <w:spacing w:before="0" w:after="60"/>
              <w:ind w:left="0" w:right="0" w:hanging="0"/>
              <w:jc w:val="left"/>
              <w:rPr/>
            </w:pPr>
            <w:r>
              <w:rPr/>
              <w:t>​</w:t>
            </w:r>
          </w:p>
        </w:tc>
        <w:tc>
          <w:tcPr>
            <w:tcW w:w="76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Page 4</w:t>
            </w:r>
          </w:p>
        </w:tc>
      </w:tr>
    </w:tbl>
    <w:p>
      <w:pPr>
        <w:pStyle w:val="TextBody"/>
        <w:bidi w:val="0"/>
        <w:spacing w:before="0" w:after="0"/>
        <w:ind w:left="0" w:right="0" w:hanging="0"/>
        <w:jc w:val="left"/>
        <w:rPr/>
      </w:pPr>
      <w:r>
        <w:rPr/>
        <w:t>​</w:t>
      </w:r>
    </w:p>
    <w:p>
      <w:pPr>
        <w:pStyle w:val="TextBody"/>
        <w:bidi w:val="0"/>
        <w:spacing w:before="0" w:after="60"/>
        <w:ind w:left="0" w:right="0" w:hanging="0"/>
        <w:jc w:val="right"/>
        <w:rPr/>
      </w:pPr>
      <w:r>
        <w:rPr/>
        <w:t>​</w:t>
      </w:r>
    </w:p>
    <w:p>
      <w:pPr>
        <w:pStyle w:val="TextBody"/>
        <w:bidi w:val="0"/>
        <w:spacing w:before="0" w:after="480"/>
        <w:ind w:left="0" w:right="0" w:hanging="0"/>
        <w:jc w:val="center"/>
        <w:rPr>
          <w:rFonts w:ascii="Arial;Helvetica;sans-serif" w:hAnsi="Arial;Helvetica;sans-serif"/>
          <w:b/>
          <w:sz w:val="20"/>
        </w:rPr>
      </w:pPr>
      <w:r>
        <w:rPr>
          <w:rFonts w:ascii="Arial;Helvetica;sans-serif" w:hAnsi="Arial;Helvetica;sans-serif"/>
          <w:b/>
          <w:sz w:val="20"/>
        </w:rPr>
        <w:t>SCHEDULE 1</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LIST OF DOCUMENTS EXAMINED</w:t>
      </w:r>
    </w:p>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004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Certificate of Incorporation dated 1 May 2018, Amended and Restated Memorandum and Articles of Association as adopted on 19 June 2019 (the "</w:t>
            </w:r>
            <w:r>
              <w:rPr>
                <w:rFonts w:ascii="Arial;Helvetica;sans-serif" w:hAnsi="Arial;Helvetica;sans-serif"/>
                <w:b/>
                <w:i w:val="false"/>
                <w:caps w:val="false"/>
                <w:smallCaps w:val="false"/>
                <w:sz w:val="20"/>
              </w:rPr>
              <w:t>Memorandum and Articles</w:t>
            </w:r>
            <w:r>
              <w:rPr>
                <w:rFonts w:ascii="Arial;Helvetica;sans-serif" w:hAnsi="Arial;Helvetica;sans-serif"/>
                <w:b w:val="false"/>
                <w:i w:val="false"/>
                <w:caps w:val="false"/>
                <w:smallCaps w:val="false"/>
                <w:sz w:val="20"/>
              </w:rPr>
              <w:t>"), Register of Members, Register of Directors and Officers and Register of Mortgages and Charges, in each case, of the Company, copies of which have been provided to us by its registered office in the Cayman Islands or in the case of the Register of Members by the Company’s registrar.</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Cayman Online Registry Information System (CORIS), the Cayman Islands' General Registry's online database, searched on 12 August 2026.</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1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 copy of a Certificate of Good Standing dated 12 August 2026 in respect of the Company issued by the Registrar (the "</w:t>
            </w:r>
            <w:r>
              <w:rPr>
                <w:rFonts w:ascii="Arial;Helvetica;sans-serif" w:hAnsi="Arial;Helvetica;sans-serif"/>
                <w:b/>
                <w:i w:val="false"/>
                <w:caps w:val="false"/>
                <w:smallCaps w:val="false"/>
                <w:sz w:val="20"/>
              </w:rPr>
              <w:t>Certificate of Good Standing</w:t>
            </w:r>
            <w:r>
              <w:rPr>
                <w:rFonts w:ascii="Arial;Helvetica;sans-serif" w:hAnsi="Arial;Helvetica;san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9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Copies of the executed written resolutions of the Directors of the Company dated 10 June 2026 (the "</w:t>
            </w:r>
            <w:r>
              <w:rPr>
                <w:rFonts w:ascii="Arial;Helvetica;sans-serif" w:hAnsi="Arial;Helvetica;sans-serif"/>
                <w:b/>
                <w:i w:val="false"/>
                <w:caps w:val="false"/>
                <w:smallCaps w:val="false"/>
                <w:sz w:val="20"/>
              </w:rPr>
              <w:t>Resolutions</w:t>
            </w:r>
            <w:r>
              <w:rPr>
                <w:rFonts w:ascii="Arial;Helvetica;sans-serif" w:hAnsi="Arial;Helvetica;sans-serif"/>
                <w:b w:val="false"/>
                <w:i w:val="false"/>
                <w:caps w:val="false"/>
                <w:smallCaps w:val="false"/>
                <w:sz w:val="20"/>
              </w:rPr>
              <w:t>").</w:t>
            </w:r>
          </w:p>
        </w:tc>
      </w:tr>
    </w:tbl>
    <w:tbl>
      <w:tblPr>
        <w:tblW w:w="4983" w:type="dxa"/>
        <w:jc w:val="left"/>
        <w:tblInd w:w="0" w:type="dxa"/>
        <w:tblLayout w:type="fixed"/>
        <w:tblCellMar>
          <w:top w:w="0" w:type="dxa"/>
          <w:left w:w="0" w:type="dxa"/>
          <w:bottom w:w="0" w:type="dxa"/>
          <w:right w:w="0" w:type="dxa"/>
        </w:tblCellMar>
      </w:tblPr>
      <w:tblGrid>
        <w:gridCol w:w="23"/>
        <w:gridCol w:w="185"/>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477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Copies of the following documents (the "</w:t>
            </w:r>
            <w:r>
              <w:rPr>
                <w:rFonts w:ascii="Arial;Helvetica;sans-serif" w:hAnsi="Arial;Helvetica;sans-serif"/>
                <w:b/>
                <w:i w:val="false"/>
                <w:caps w:val="false"/>
                <w:smallCaps w:val="false"/>
                <w:sz w:val="20"/>
              </w:rPr>
              <w:t>Documents</w:t>
            </w:r>
            <w:r>
              <w:rPr>
                <w:rFonts w:ascii="Arial;Helvetica;sans-serif" w:hAnsi="Arial;Helvetica;san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Registration Statement on Form S-8 filed on 13 August 2026 by the Company with the United States Securities and Exchange Commission registering the Shares under the Securities Act (as filed and amended, the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w:t>
            </w:r>
          </w:p>
        </w:tc>
      </w:tr>
    </w:tbl>
    <w:tbl>
      <w:tblPr>
        <w:tblW w:w="1443" w:type="dxa"/>
        <w:jc w:val="left"/>
        <w:tblInd w:w="0" w:type="dxa"/>
        <w:tblLayout w:type="fixed"/>
        <w:tblCellMar>
          <w:top w:w="0" w:type="dxa"/>
          <w:left w:w="0" w:type="dxa"/>
          <w:bottom w:w="0" w:type="dxa"/>
          <w:right w:w="0" w:type="dxa"/>
        </w:tblCellMar>
      </w:tblPr>
      <w:tblGrid>
        <w:gridCol w:w="23"/>
        <w:gridCol w:w="245"/>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1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Plan; and</w:t>
            </w:r>
          </w:p>
        </w:tc>
      </w:tr>
    </w:tbl>
    <w:tbl>
      <w:tblPr>
        <w:tblW w:w="8343" w:type="dxa"/>
        <w:jc w:val="left"/>
        <w:tblInd w:w="0" w:type="dxa"/>
        <w:tblLayout w:type="fixed"/>
        <w:tblCellMar>
          <w:top w:w="0" w:type="dxa"/>
          <w:left w:w="0" w:type="dxa"/>
          <w:bottom w:w="0" w:type="dxa"/>
          <w:right w:w="0" w:type="dxa"/>
        </w:tblCellMar>
      </w:tblPr>
      <w:tblGrid>
        <w:gridCol w:w="23"/>
        <w:gridCol w:w="245"/>
        <w:gridCol w:w="80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8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other documents as we have deemed necessary to render the opinions set forth herein.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5" w:name="mgtx-20260813xex23d1.htm"/>
      <w:bookmarkStart w:id="6" w:name="ksmgtx20260813xex23d1"/>
      <w:bookmarkEnd w:id="5"/>
      <w:bookmarkEnd w:id="6"/>
      <w:r>
        <w:rPr>
          <w:rFonts w:ascii="Times New Roman;Times;serif" w:hAnsi="Times New Roman;Times;serif"/>
          <w:b/>
          <w:sz w:val="24"/>
        </w:rPr>
        <w:t>Exhibit 23.1</w:t>
      </w:r>
      <w:r>
        <w:br w:type="page"/>
      </w:r>
    </w:p>
    <w:p>
      <w:pPr>
        <w:pStyle w:val="TextBody"/>
        <w:bidi w:val="0"/>
        <w:spacing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CONSENT OF INDEPENDENT REGISTERED PUBLIC ACCOUNTING FIRM</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We consent to the incorporation by reference in the Registration Statement (Form S-8) pertaining to the 2026 Employment Inducement Award Plan of MeiraGTx Holdings plc of our report dated March 30, 2026, with respect to the consolidated financial statements of MeiraGTx Holdings plc included in its Annual Report (Form 10-K) for the year ended December 31, 2025, filed with the Securities and Exchange Commission.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/s/ Ernst &amp; Young LLP</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New York, New York</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August 13,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mgtx-20260813xexfees.htm"/>
      <w:bookmarkStart w:id="8" w:name="ksmgtx20260813xexfees"/>
      <w:bookmarkStart w:id="9" w:name="mgtx-20260813xexfees.htm"/>
      <w:bookmarkStart w:id="10" w:name="ksmgtx20260813xexfees"/>
      <w:bookmarkEnd w:id="9"/>
      <w:bookmarkEnd w:id="1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MeiraGTx Holdings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59" w:type="dxa"/>
        <w:jc w:val="left"/>
        <w:tblInd w:w="0" w:type="dxa"/>
        <w:tblLayout w:type="fixed"/>
        <w:tblCellMar>
          <w:top w:w="28" w:type="dxa"/>
          <w:left w:w="28" w:type="dxa"/>
          <w:bottom w:w="28" w:type="dxa"/>
          <w:right w:w="28" w:type="dxa"/>
        </w:tblCellMar>
      </w:tblPr>
      <w:tblGrid>
        <w:gridCol w:w="241"/>
        <w:gridCol w:w="946"/>
        <w:gridCol w:w="136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Ordinary Shares, nominal value $0.00003881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1,000,000 </w:t>
            </w:r>
          </w:p>
        </w:tc>
        <w:tc>
          <w:tcPr>
            <w:tcW w:w="1156" w:type="dxa"/>
            <w:tcBorders/>
            <w:shd w:fill="E7E7E2" w:val="clear"/>
            <w:vAlign w:val="center"/>
          </w:tcPr>
          <w:p>
            <w:pPr>
              <w:pStyle w:val="TableContents"/>
              <w:bidi w:val="0"/>
              <w:spacing w:before="0" w:after="283"/>
              <w:jc w:val="right"/>
              <w:rPr/>
            </w:pPr>
            <w:r>
              <w:rPr/>
              <w:t xml:space="preserve">$ 12.69 </w:t>
            </w:r>
          </w:p>
        </w:tc>
        <w:tc>
          <w:tcPr>
            <w:tcW w:w="1666" w:type="dxa"/>
            <w:tcBorders/>
            <w:shd w:fill="E7E7E2" w:val="clear"/>
            <w:vAlign w:val="center"/>
          </w:tcPr>
          <w:p>
            <w:pPr>
              <w:pStyle w:val="TableContents"/>
              <w:bidi w:val="0"/>
              <w:spacing w:before="0" w:after="283"/>
              <w:jc w:val="right"/>
              <w:rPr/>
            </w:pPr>
            <w:r>
              <w:rPr/>
              <w:t xml:space="preserve">$ 12,690,000.00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$ 1,752.49 </w:t>
            </w:r>
          </w:p>
        </w:tc>
      </w:tr>
      <w:tr>
        <w:trPr/>
        <w:tc>
          <w:tcPr>
            <w:tcW w:w="501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$ 12,690,000.00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$ 1,752.49 </w:t>
            </w:r>
          </w:p>
        </w:tc>
      </w:tr>
      <w:tr>
        <w:trPr/>
        <w:tc>
          <w:tcPr>
            <w:tcW w:w="501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501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$ 1,752.49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In accordance with Rule 416(a) under the Securities Act of 1933, as amended ("Securities Act"), this Registration Statement shall also cover any additional ordinary shares of MeiraGTx Holdings plc (the "Registrant"), nominal value $0.00003881 per share ("Ordinary Shares"), that may become issuable under the MeiraGTx Holdings plc 2026 Employment Inducement Award Plan (the "Inducement Plan") by reason of any stock splits, stock dividends or similar transactions. Consists of 1,000,000 Ordinary Shares available for issuance under the Inducement Plan. Estimated solely for the purpose of calculating the registration fee pursuant to Rules 457(c) and 457(h) of the Securities Act and based upon the average of the high and low prices of the Ordinary Shares as reported on the Nasdaq Stock Market LLC on August 6,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egoe U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35438/000110465926036494/mgtx-20251231x10k.htm" TargetMode="External"/><Relationship Id="rId3" Type="http://schemas.openxmlformats.org/officeDocument/2006/relationships/hyperlink" Target="https://www.sec.gov/ix?doc=/Archives/edgar/data/1735438/000110465926060739/mgtx-20260331x10q.htm" TargetMode="External"/><Relationship Id="rId4" Type="http://schemas.openxmlformats.org/officeDocument/2006/relationships/hyperlink" Target="https://www.sec.gov/ix?doc=/Archives/edgar/data/0001735438/000110465926095504/mgtx-20260630x10q.htm" TargetMode="External"/><Relationship Id="rId5" Type="http://schemas.openxmlformats.org/officeDocument/2006/relationships/hyperlink" Target="https://www.sec.gov/ix?doc=/Archives/edgar/data/1735438/000110465926000068/mgtx-20251231x8k.htm" TargetMode="External"/><Relationship Id="rId6" Type="http://schemas.openxmlformats.org/officeDocument/2006/relationships/hyperlink" Target="https://www.sec.gov/ix?doc=/Archives/edgar/data/1735438/000110465926034904/mgtx-20260325x8k.htm" TargetMode="External"/><Relationship Id="rId7" Type="http://schemas.openxmlformats.org/officeDocument/2006/relationships/hyperlink" Target="https://www.sec.gov/ix?doc=/Archives/edgar/data/1735438/000110465926044025/mgtx-20260416x8k.htm" TargetMode="External"/><Relationship Id="rId8" Type="http://schemas.openxmlformats.org/officeDocument/2006/relationships/hyperlink" Target="https://www.sec.gov/ix?doc=/Archives/edgar/data/1735438/000110465926044028/mgtx-20260415x8k.htm" TargetMode="External"/><Relationship Id="rId9" Type="http://schemas.openxmlformats.org/officeDocument/2006/relationships/hyperlink" Target="https://www.sec.gov/ix?doc=/Archives/edgar/data/1735438/000110465926044462/tm2611992d1_8k.htm" TargetMode="External"/><Relationship Id="rId10" Type="http://schemas.openxmlformats.org/officeDocument/2006/relationships/hyperlink" Target="https://www.sec.gov/ix?doc=/Archives/edgar/data/1735438/000110465926048196/mgtx-20260420x8k.htm" TargetMode="External"/><Relationship Id="rId11" Type="http://schemas.openxmlformats.org/officeDocument/2006/relationships/hyperlink" Target="https://www.sec.gov/ix?doc=/Archives/edgar/data/1735438/000110465926074085/mgtx-20260611x8k.htm" TargetMode="External"/><Relationship Id="rId12" Type="http://schemas.openxmlformats.org/officeDocument/2006/relationships/hyperlink" Target="https://www.sec.gov/ix?doc=/Archives/edgar/data/1735438/000110465926080949/mgtx-20260630x8k.htm" TargetMode="External"/><Relationship Id="rId13" Type="http://schemas.openxmlformats.org/officeDocument/2006/relationships/hyperlink" Target="https://www.sec.gov/Archives/edgar/data/1735438/000119312518187284/d602941d8a12b.htm" TargetMode="External"/><Relationship Id="rId14" Type="http://schemas.openxmlformats.org/officeDocument/2006/relationships/hyperlink" Target="https://www.sec.gov/Archives/edgar/data/1735438/000155837020002429/mgtx-20191231ex434dcf340.htm" TargetMode="External"/><Relationship Id="rId15" Type="http://schemas.openxmlformats.org/officeDocument/2006/relationships/hyperlink" Target="https://www.sec.gov/Archives/edgar/data/1735438/000119312519214667/d777372dex31.htm" TargetMode="External"/><Relationship Id="rId16" Type="http://schemas.openxmlformats.org/officeDocument/2006/relationships/hyperlink" Target="https://www.sec.gov/Archives/edgar/data/1735438/000155837020002429/mgtx-20191231ex426043d4d.htm" TargetMode="External"/><Relationship Id="rId17" Type="http://schemas.openxmlformats.org/officeDocument/2006/relationships/hyperlink" Target="https://www.sec.gov/Archives/edgar/data/1735438/000119312518176071/d544323dex41.htm" TargetMode="External"/><Relationship Id="rId18" Type="http://schemas.openxmlformats.org/officeDocument/2006/relationships/hyperlink" Target="https://www.sec.gov/Archives/edgar/data/1735438/000110465926095504/mgtx-20260630xex10d13.htm" TargetMode="External"/><Relationship Id="rId19" Type="http://schemas.openxmlformats.org/officeDocument/2006/relationships/hyperlink" Target="https://www.sec.gov/Archives/edgar/data/1735438/000110465926095504/mgtx-20260630xex10d14.htm" TargetMode="External"/><Relationship Id="rId20" Type="http://schemas.openxmlformats.org/officeDocument/2006/relationships/hyperlink" Target="https://www.sec.gov/Archives/edgar/data/1735438/000110465926095504/mgtx-20260630xex10d15.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3943</Words>
  <Characters>20749</Characters>
  <CharactersWithSpaces>24714</CharactersWithSpaces>
  <Paragraphs>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