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22026_010715.xml.htm"/>
      <w:bookmarkStart w:id="1" w:name="ksform407222026_0107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Giroux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 THIRD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MeiraGTx Holdings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2"/>
        <w:gridCol w:w="919"/>
        <w:gridCol w:w="788"/>
        <w:gridCol w:w="610"/>
        <w:gridCol w:w="344"/>
        <w:gridCol w:w="920"/>
        <w:gridCol w:w="433"/>
        <w:gridCol w:w="800"/>
        <w:gridCol w:w="1134"/>
        <w:gridCol w:w="979"/>
        <w:gridCol w:w="118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908,530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5,152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0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85,000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Aigle Healthcare Partners III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November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reflects the weighted average sales price. The shares were sold in multiple transactions at prices ranging from $12.00 to $12.63,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undertakes to provide to the SEC staff, the issuer, or a security holder of the issuer, upon request,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Giroux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2734" TargetMode="External"/><Relationship Id="rId5" Type="http://schemas.openxmlformats.org/officeDocument/2006/relationships/hyperlink" Target="http://www.sec.gov/cgi-bin/browse-edgar?action=getcompany&amp;CIK=00017354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3563</Characters>
  <CharactersWithSpaces>4149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