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7046595" cy="8671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1560"/>
                    </a:xfrm>
                    <a:prstGeom prst="rect">
                      <a:avLst/>
                    </a:prstGeom>
                    <a:noFill/>
                  </pic:spPr>
                </pic:pic>
              </a:graphicData>
            </a:graphic>
          </wp:anchor>
        </w:drawing>
      </w:r>
    </w:p>
    <w:p>
      <w:pPr>
        <w:spacing w:after="0" w:line="1247" w:lineRule="exact"/>
        <w:rPr>
          <w:sz w:val="24"/>
          <w:szCs w:val="24"/>
          <w:color w:val="auto"/>
        </w:rPr>
      </w:pPr>
    </w:p>
    <w:p>
      <w:pPr>
        <w:sectPr>
          <w:pgSz w:w="11900" w:h="16874" w:orient="portrait"/>
          <w:cols w:equalWidth="0" w:num="2">
            <w:col w:w="2340" w:space="240"/>
            <w:col w:w="850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PERCEPTIVE ADVISORS LLC</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MeiraGTx Holdings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MGTX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6" w:lineRule="exact"/>
        <w:rPr>
          <w:sz w:val="24"/>
          <w:szCs w:val="24"/>
          <w:color w:val="auto"/>
        </w:rPr>
      </w:pPr>
    </w:p>
    <w:p>
      <w:pPr>
        <w:sectPr>
          <w:pgSz w:w="11900" w:h="16874" w:orient="portrait"/>
          <w:cols w:equalWidth="0" w:num="3">
            <w:col w:w="3180" w:space="720"/>
            <w:col w:w="3112" w:space="720"/>
            <w:col w:w="3348"/>
          </w:cols>
          <w:pgMar w:left="460" w:top="218" w:right="359" w:bottom="0" w:gutter="0" w:footer="0" w:header="0"/>
          <w:type w:val="continuous"/>
        </w:sectPr>
      </w:pPr>
    </w:p>
    <w:p>
      <w:pPr>
        <w:spacing w:after="0" w:line="1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10003</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07" w:lineRule="exact"/>
        <w:rPr>
          <w:sz w:val="24"/>
          <w:szCs w:val="24"/>
          <w:color w:val="auto"/>
        </w:rPr>
      </w:pPr>
    </w:p>
    <w:p>
      <w:pPr>
        <w:sectPr>
          <w:pgSz w:w="11900" w:h="16874"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left="55"/>
              <w:spacing w:after="0"/>
              <w:rPr>
                <w:sz w:val="20"/>
                <w:szCs w:val="20"/>
                <w:color w:val="auto"/>
              </w:rPr>
            </w:pPr>
            <w:r>
              <w:rPr>
                <w:rFonts w:ascii="Times New Roman" w:cs="Times New Roman" w:eastAsia="Times New Roman" w:hAnsi="Times New Roman"/>
                <w:sz w:val="13"/>
                <w:szCs w:val="13"/>
                <w:color w:val="0000FF"/>
                <w:w w:val="97"/>
              </w:rPr>
              <w:t>Ordinary</w:t>
            </w:r>
          </w:p>
        </w:tc>
        <w:tc>
          <w:tcPr>
            <w:tcW w:w="7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60,000</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320" w:type="dxa"/>
            <w:vAlign w:val="bottom"/>
            <w:gridSpan w:val="2"/>
            <w:vMerge w:val="continue"/>
          </w:tcPr>
          <w:p>
            <w:pPr>
              <w:spacing w:after="0"/>
              <w:rPr>
                <w:sz w:val="4"/>
                <w:szCs w:val="4"/>
                <w:color w:val="auto"/>
              </w:rPr>
            </w:pP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0000FF"/>
              </w:rPr>
              <w:t>06/11/2026</w:t>
            </w: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60,000</w:t>
            </w:r>
          </w:p>
        </w:tc>
        <w:tc>
          <w:tcPr>
            <w:tcW w:w="8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6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60,000</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I</w:t>
            </w: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restart"/>
          </w:tcPr>
          <w:p>
            <w:pPr>
              <w:jc w:val="center"/>
              <w:ind w:left="55"/>
              <w:spacing w:after="0"/>
              <w:rPr>
                <w:sz w:val="20"/>
                <w:szCs w:val="20"/>
                <w:color w:val="auto"/>
              </w:rPr>
            </w:pPr>
            <w:r>
              <w:rPr>
                <w:rFonts w:ascii="Times New Roman" w:cs="Times New Roman" w:eastAsia="Times New Roman" w:hAnsi="Times New Roman"/>
                <w:sz w:val="13"/>
                <w:szCs w:val="13"/>
                <w:color w:val="0000FF"/>
                <w:w w:val="97"/>
              </w:rPr>
              <w:t>Shares</w:t>
            </w: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900" w:type="dxa"/>
            <w:vAlign w:val="bottom"/>
            <w:vMerge w:val="restart"/>
          </w:tcPr>
          <w:p>
            <w:pPr>
              <w:ind w:left="220"/>
              <w:spacing w:after="0" w:line="155"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1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88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6"/>
          </w:tcPr>
          <w:p>
            <w:pPr>
              <w:spacing w:after="0" w:line="219" w:lineRule="exact"/>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PERCEPTIVE ADVISORS LLC</w:t>
              </w:r>
            </w:hyperlink>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NEW YORK</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10003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6"/>
          </w:tcPr>
          <w:p>
            <w:pPr>
              <w:spacing w:after="0" w:line="219"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EDELMAN JOSEPH</w:t>
              </w:r>
            </w:hyperlink>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NEW YORK</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10003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9"/>
          </w:tcPr>
          <w:p>
            <w:pPr>
              <w:spacing w:after="0" w:line="219"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PERCEPTIVE LIFE SCIENCES MASTER</w:t>
              </w:r>
            </w:hyperlink>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0000EE"/>
            </w:tcBorders>
            <w:gridSpan w:val="3"/>
          </w:tcPr>
          <w:p>
            <w:pPr>
              <w:spacing w:after="0" w:line="213"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FUND LTD</w:t>
              </w:r>
            </w:hyperlink>
          </w:p>
        </w:tc>
        <w:tc>
          <w:tcPr>
            <w:tcW w:w="5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48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ectPr>
          <w:pgSz w:w="11900" w:h="16874" w:orient="portrait"/>
          <w:cols w:equalWidth="0" w:num="1">
            <w:col w:w="11080"/>
          </w:cols>
          <w:pgMar w:left="460" w:top="218"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51 ASTOR PLACE, 10TH FLOOR</w:t>
      </w:r>
    </w:p>
    <w:p>
      <w:pPr>
        <w:sectPr>
          <w:pgSz w:w="11900" w:h="16874" w:orient="portrait"/>
          <w:cols w:equalWidth="0" w:num="1">
            <w:col w:w="11080"/>
          </w:cols>
          <w:pgMar w:left="460" w:top="218"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10003</w:t>
            </w:r>
          </w:p>
        </w:tc>
      </w:tr>
      <w:tr>
        <w:trPr>
          <w:trHeight w:val="150"/>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07970" cy="825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7970" cy="82550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right="40" w:firstLine="2"/>
        <w:spacing w:after="0" w:line="25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converts into one ordinary share of the Issuer upon settlement. The restricted share units become settleable when Ellen Hukkelhoven ("Ms. Hukkelhoven") ceases to be a director of the Issuer.</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shall vest in a single annual installment upon the earlier of (i) June 11, 2027 or (ii) the day immediately prior to the date of the Issuer's annual meeting of shareholders in 2027.</w:t>
      </w:r>
    </w:p>
    <w:p>
      <w:pPr>
        <w:spacing w:after="0" w:line="44" w:lineRule="exact"/>
        <w:rPr>
          <w:rFonts w:ascii="Times New Roman" w:cs="Times New Roman" w:eastAsia="Times New Roman" w:hAnsi="Times New Roman"/>
          <w:sz w:val="13"/>
          <w:szCs w:val="13"/>
          <w:color w:val="008000"/>
        </w:rPr>
      </w:pPr>
    </w:p>
    <w:p>
      <w:pPr>
        <w:ind w:firstLine="2"/>
        <w:spacing w:after="0" w:line="23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Hukkelhoven is a Managing Director of Perceptive Advisors, LLC (the "Advisor"). The Advisor serves as the investment manager of Perceptive Life Sciences Master Fund Ltd. (the "Master Fund"). The Advisor may be deemed to have an indirect pecuniary interest in the securities reported herein because the Advisor has the right to receive the director compensation provided in respect of Ms. Hukkelhoven's board service through a partial management fee offset. Joseph Edelman ("Mr. Edelman") is the managing member of the Advisor. Each of Mr. Edelman, the Master Fund and the Advisor disclaim, for purposes of Section 16 of the Securities Exchange Act of 1934, beneficial ownership of such securities, except to the extent of his/its indirect pecuniary interest therein, and this report shall not be deemed an admission that either Mr. Edelman, the Master Fund or the Advisor is the beneficial owner of such securities for purposes of Section 16 or for any other purposes.</w:t>
      </w:r>
    </w:p>
    <w:p>
      <w:pPr>
        <w:sectPr>
          <w:pgSz w:w="11900" w:h="16838" w:orient="portrait"/>
          <w:cols w:equalWidth="0" w:num="1">
            <w:col w:w="10840"/>
          </w:cols>
          <w:pgMar w:left="500" w:top="450" w:right="559" w:bottom="1440" w:gutter="0" w:footer="0" w:header="0"/>
        </w:sectPr>
      </w:pPr>
    </w:p>
    <w:p>
      <w:pPr>
        <w:spacing w:after="0" w:line="5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-8890</wp:posOffset>
            </wp:positionV>
            <wp:extent cx="1036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1297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1297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-15875</wp:posOffset>
            </wp:positionV>
            <wp:extent cx="3492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49250"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-8890</wp:posOffset>
            </wp:positionV>
            <wp:extent cx="1036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-15875</wp:posOffset>
            </wp:positionV>
            <wp:extent cx="1054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-15875</wp:posOffset>
            </wp:positionV>
            <wp:extent cx="9512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-15875</wp:posOffset>
            </wp:positionV>
            <wp:extent cx="1244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-15875</wp:posOffset>
            </wp:positionV>
            <wp:extent cx="1065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65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12979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-15875</wp:posOffset>
            </wp:positionV>
            <wp:extent cx="3492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49250"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-8890</wp:posOffset>
            </wp:positionV>
            <wp:extent cx="8235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823595" cy="8255"/>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485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485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4857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00" w:space="160"/>
            <w:col w:w="2080"/>
          </w:cols>
          <w:pgMar w:left="500" w:top="450"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80" w:firstLine="2"/>
        <w:spacing w:after="0" w:line="337"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45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3" Type="http://schemas.openxmlformats.org/officeDocument/2006/relationships/hyperlink" Target="http://www.sec.gov/cgi-bin/browse-edgar?action=getcompany&amp;CIK=0001224962" TargetMode="External"/><Relationship Id="rId14" Type="http://schemas.openxmlformats.org/officeDocument/2006/relationships/hyperlink" Target="http://www.sec.gov/cgi-bin/browse-edgar?action=getcompany&amp;CIK=0001735438" TargetMode="External"/><Relationship Id="rId16" Type="http://schemas.openxmlformats.org/officeDocument/2006/relationships/hyperlink" Target="http://www.sec.gov/cgi-bin/browse-edgar?action=getcompany&amp;CIK=0001164426" TargetMode="External"/><Relationship Id="rId17" Type="http://schemas.openxmlformats.org/officeDocument/2006/relationships/hyperlink" Target="http://www.sec.gov/cgi-bin/browse-edgar?action=getcompany&amp;CIK=0001249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2026-06-15T15:42:50Z</dcterms:created>
  <dcterms:modified xsi:type="dcterms:W3CDTF">2026-06-15T15:42:50Z</dcterms:modified>
</cp:coreProperties>
</file>