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60"/>
        <w:ind w:left="0" w:right="0" w:hanging="0"/>
        <w:jc w:val="center"/>
        <w:rPr/>
      </w:pPr>
      <w:bookmarkStart w:id="0" w:name="mgtx-20260611x8k.htm"/>
      <w:bookmarkStart w:id="1" w:name="ksmgtx20260611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bookmarkStart w:id="2" w:name="_c972687a_0057_4c92_bcb6_d5b30713901e"/>
      <w:bookmarkEnd w:id="2"/>
      <w:r>
        <w:rPr>
          <w:rFonts w:ascii="Times New Roman;Times;serif" w:hAnsi="Times New Roman;Times;serif"/>
          <w:b/>
          <w:sz w:val="24"/>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120"/>
        <w:ind w:left="0" w:right="0" w:hanging="0"/>
        <w:jc w:val="center"/>
        <w:rPr>
          <w:rFonts w:ascii="Times New Roman;Times;serif" w:hAnsi="Times New Roman;Times;serif"/>
          <w:b/>
          <w:sz w:val="32"/>
        </w:rPr>
      </w:pPr>
      <w:r>
        <w:rPr>
          <w:rFonts w:ascii="Times New Roman;Times;serif" w:hAnsi="Times New Roman;Times;serif"/>
          <w:b/>
          <w:sz w:val="32"/>
        </w:rPr>
        <w:t>FORM 8-K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 Pursuant to Section 13 or 15(d)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 xml:space="preserve">Date of Report (Date of earliest event reported): </w:t>
      </w:r>
      <w:r>
        <w:rPr>
          <w:rFonts w:ascii="Times New Roman;Times;serif" w:hAnsi="Times New Roman;Times;serif"/>
          <w:b/>
          <w:sz w:val="20"/>
        </w:rPr>
        <w:t>June 11, 2026</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MeiraGTx Holdings plc</w:t>
      </w:r>
    </w:p>
    <w:p>
      <w:pPr>
        <w:pStyle w:val="TextBody"/>
        <w:bidi w:val="0"/>
        <w:spacing w:before="0" w:after="6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rgYNdncR20OR-NQUSsaXcg_2_4"/>
      <w:bookmarkStart w:id="4" w:name="Tc_DOFy28azx0iWX1wqy0NYIA_2_2"/>
      <w:bookmarkStart w:id="5" w:name="Tc_wn7Pn5G_iUCGMbTiso1kEA_2_0"/>
      <w:bookmarkStart w:id="6" w:name="_172f3750_63b7_4adb_90b0_25a63bc5be3d"/>
      <w:bookmarkStart w:id="7" w:name="Tc_rgYNdncR20OR-NQUSsaXcg_2_4"/>
      <w:bookmarkStart w:id="8" w:name="Tc_DOFy28azx0iWX1wqy0NYIA_2_2"/>
      <w:bookmarkStart w:id="9" w:name="Tc_wn7Pn5G_iUCGMbTiso1kEA_2_0"/>
      <w:bookmarkStart w:id="10" w:name="_172f3750_63b7_4adb_90b0_25a63bc5be3d"/>
      <w:bookmarkEnd w:id="7"/>
      <w:bookmarkEnd w:id="8"/>
      <w:bookmarkEnd w:id="9"/>
      <w:bookmarkEnd w:id="10"/>
    </w:p>
    <w:tbl>
      <w:tblPr>
        <w:tblW w:w="9740" w:type="dxa"/>
        <w:jc w:val="left"/>
        <w:tblInd w:w="0" w:type="dxa"/>
        <w:tblLayout w:type="fixed"/>
        <w:tblCellMar>
          <w:top w:w="0" w:type="dxa"/>
          <w:left w:w="0" w:type="dxa"/>
          <w:bottom w:w="0" w:type="dxa"/>
          <w:right w:w="0" w:type="dxa"/>
        </w:tblCellMar>
      </w:tblPr>
      <w:tblGrid>
        <w:gridCol w:w="4336"/>
        <w:gridCol w:w="346"/>
        <w:gridCol w:w="2041"/>
        <w:gridCol w:w="346"/>
        <w:gridCol w:w="2671"/>
      </w:tblGrid>
      <w:tr>
        <w:trPr/>
        <w:tc>
          <w:tcPr>
            <w:tcW w:w="4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9710" cy="175260"/>
                      <wp:effectExtent l="0" t="0" r="0" b="0"/>
                      <wp:wrapNone/>
                      <wp:docPr id="1" name="Frame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1" w:type="dxa"/>
            <w:tcBorders/>
            <w:vAlign w:val="center"/>
          </w:tcPr>
          <w:p>
            <w:pPr>
              <w:pStyle w:val="TableContents"/>
              <w:bidi w:val="0"/>
              <w:spacing w:before="0" w:after="0"/>
              <w:ind w:left="0" w:right="0" w:hanging="0"/>
              <w:jc w:val="left"/>
              <w:rPr/>
            </w:pPr>
            <w:r>
              <w:rPr/>
              <w:t>​</w:t>
            </w:r>
          </w:p>
        </w:tc>
      </w:tr>
      <w:tr>
        <w:trPr/>
        <w:tc>
          <w:tcPr>
            <w:tcW w:w="43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Cayman Islands </w:t>
            </w:r>
          </w:p>
        </w:tc>
        <w:tc>
          <w:tcPr>
            <w:tcW w:w="346" w:type="dxa"/>
            <w:tcBorders/>
            <w:vAlign w:val="center"/>
          </w:tcPr>
          <w:p>
            <w:pPr>
              <w:pStyle w:val="TableContents"/>
              <w:bidi w:val="0"/>
              <w:spacing w:before="0" w:after="0"/>
              <w:ind w:left="0" w:right="0" w:hanging="0"/>
              <w:jc w:val="left"/>
              <w:rPr/>
            </w:pPr>
            <w:r>
              <w:rPr/>
              <w:t>  ​ ​ ​</w:t>
            </w:r>
          </w:p>
        </w:tc>
        <w:tc>
          <w:tcPr>
            <w:tcW w:w="20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001-38520</w:t>
            </w:r>
          </w:p>
        </w:tc>
        <w:tc>
          <w:tcPr>
            <w:tcW w:w="346" w:type="dxa"/>
            <w:tcBorders/>
            <w:vAlign w:val="center"/>
          </w:tcPr>
          <w:p>
            <w:pPr>
              <w:pStyle w:val="TableContents"/>
              <w:bidi w:val="0"/>
              <w:spacing w:before="0" w:after="0"/>
              <w:ind w:left="0" w:right="0" w:hanging="0"/>
              <w:jc w:val="left"/>
              <w:rPr/>
            </w:pPr>
            <w:r>
              <w:rPr/>
              <w:t>  ​ ​ ​</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98-1448305</w:t>
            </w:r>
          </w:p>
        </w:tc>
      </w:tr>
      <w:tr>
        <w:trPr/>
        <w:tc>
          <w:tcPr>
            <w:tcW w:w="43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(State or other jurisdiction of incorporation or organization) </w:t>
            </w:r>
          </w:p>
        </w:tc>
        <w:tc>
          <w:tcPr>
            <w:tcW w:w="346" w:type="dxa"/>
            <w:tcBorders/>
            <w:vAlign w:val="center"/>
          </w:tcPr>
          <w:p>
            <w:pPr>
              <w:pStyle w:val="TableContents"/>
              <w:bidi w:val="0"/>
              <w:spacing w:before="0" w:after="0"/>
              <w:ind w:left="0" w:right="0" w:hanging="0"/>
              <w:jc w:val="left"/>
              <w:rPr/>
            </w:pPr>
            <w:r>
              <w:rPr/>
              <w:t> </w:t>
            </w:r>
          </w:p>
        </w:tc>
        <w:tc>
          <w:tcPr>
            <w:tcW w:w="20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(Commission File Number) </w:t>
            </w:r>
          </w:p>
        </w:tc>
        <w:tc>
          <w:tcPr>
            <w:tcW w:w="346" w:type="dxa"/>
            <w:tcBorders/>
            <w:vAlign w:val="center"/>
          </w:tcPr>
          <w:p>
            <w:pPr>
              <w:pStyle w:val="TableContents"/>
              <w:bidi w:val="0"/>
              <w:spacing w:before="0" w:after="0"/>
              <w:ind w:left="0" w:right="0" w:hanging="0"/>
              <w:jc w:val="left"/>
              <w:rPr/>
            </w:pPr>
            <w:r>
              <w:rPr/>
              <w:t> </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655 Third Avenue, Suite 1115</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New York, NY</w:t>
      </w:r>
      <w:r>
        <w:rPr>
          <w:rFonts w:ascii="Times New Roman;Times;serif" w:hAnsi="Times New Roman;Times;serif"/>
          <w:sz w:val="20"/>
        </w:rPr>
        <w:t xml:space="preserve"> </w:t>
      </w:r>
      <w:r>
        <w:rPr>
          <w:rFonts w:ascii="Times New Roman;Times;serif" w:hAnsi="Times New Roman;Times;serif"/>
          <w:b/>
          <w:sz w:val="20"/>
        </w:rPr>
        <w:t>10017</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(646) 860-7985</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(Former name or former address, if changed since last report)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tbl>
      <w:tblPr>
        <w:tblW w:w="9511" w:type="dxa"/>
        <w:jc w:val="left"/>
        <w:tblInd w:w="0" w:type="dxa"/>
        <w:tblLayout w:type="fixed"/>
        <w:tblCellMar>
          <w:top w:w="0" w:type="dxa"/>
          <w:left w:w="0" w:type="dxa"/>
          <w:bottom w:w="0" w:type="dxa"/>
          <w:right w:w="0" w:type="dxa"/>
        </w:tblCellMar>
      </w:tblPr>
      <w:tblGrid>
        <w:gridCol w:w="9511"/>
      </w:tblGrid>
      <w:tr>
        <w:trPr/>
        <w:tc>
          <w:tcPr>
            <w:tcW w:w="9511" w:type="dxa"/>
            <w:tcBorders/>
            <w:vAlign w:val="center"/>
          </w:tcPr>
          <w:p>
            <w:pPr>
              <w:pStyle w:val="TableContents"/>
              <w:bidi w:val="0"/>
              <w:spacing w:before="0" w:after="0"/>
              <w:ind w:left="0" w:right="0" w:hanging="0"/>
              <w:jc w:val="left"/>
              <w:rPr/>
            </w:pPr>
            <w:r>
              <w:rPr/>
              <w:t>​</w:t>
            </w:r>
          </w:p>
        </w:tc>
      </w:tr>
      <w:tr>
        <w:trPr/>
        <w:tc>
          <w:tcPr>
            <w:tcW w:w="9511"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Written communications pursuant to Rule 425 under the Securities Act (17 CFR 230.425)</w:t>
            </w:r>
          </w:p>
        </w:tc>
      </w:tr>
      <w:tr>
        <w:trPr/>
        <w:tc>
          <w:tcPr>
            <w:tcW w:w="9511" w:type="dxa"/>
            <w:tcBorders/>
            <w:vAlign w:val="center"/>
          </w:tcPr>
          <w:p>
            <w:pPr>
              <w:pStyle w:val="TableContents"/>
              <w:bidi w:val="0"/>
              <w:spacing w:before="0" w:after="0"/>
              <w:ind w:left="0" w:right="0" w:hanging="0"/>
              <w:jc w:val="left"/>
              <w:rPr/>
            </w:pPr>
            <w:r>
              <w:rPr/>
              <w:t> </w:t>
            </w:r>
          </w:p>
        </w:tc>
      </w:tr>
      <w:tr>
        <w:trPr/>
        <w:tc>
          <w:tcPr>
            <w:tcW w:w="9511"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Soliciting material pursuant to Rule 14a-12 under the Exchange Act (17 CFR 240.14a-12) </w:t>
            </w:r>
          </w:p>
        </w:tc>
      </w:tr>
      <w:tr>
        <w:trPr/>
        <w:tc>
          <w:tcPr>
            <w:tcW w:w="9511" w:type="dxa"/>
            <w:tcBorders/>
            <w:vAlign w:val="center"/>
          </w:tcPr>
          <w:p>
            <w:pPr>
              <w:pStyle w:val="TableContents"/>
              <w:bidi w:val="0"/>
              <w:spacing w:before="0" w:after="0"/>
              <w:ind w:left="0" w:right="0" w:hanging="0"/>
              <w:jc w:val="left"/>
              <w:rPr/>
            </w:pPr>
            <w:r>
              <w:rPr/>
              <w:t> </w:t>
            </w:r>
          </w:p>
        </w:tc>
      </w:tr>
      <w:tr>
        <w:trPr/>
        <w:tc>
          <w:tcPr>
            <w:tcW w:w="9511"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Pre-commencement communications pursuant to Rule 14d-2(b) under the Exchange Act (17 CFR 240.14d-2(b)) </w:t>
            </w:r>
          </w:p>
        </w:tc>
      </w:tr>
      <w:tr>
        <w:trPr/>
        <w:tc>
          <w:tcPr>
            <w:tcW w:w="9511" w:type="dxa"/>
            <w:tcBorders/>
            <w:vAlign w:val="center"/>
          </w:tcPr>
          <w:p>
            <w:pPr>
              <w:pStyle w:val="TableContents"/>
              <w:bidi w:val="0"/>
              <w:spacing w:before="0" w:after="0"/>
              <w:ind w:left="0" w:right="0" w:hanging="0"/>
              <w:jc w:val="left"/>
              <w:rPr/>
            </w:pPr>
            <w:r>
              <w:rPr/>
              <w:t> </w:t>
            </w:r>
          </w:p>
        </w:tc>
      </w:tr>
      <w:tr>
        <w:trPr/>
        <w:tc>
          <w:tcPr>
            <w:tcW w:w="9511"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Pre-commencement communications pursuant to Rule 13e-4(c) under the Exchange Act (17 CFR 240.13e-4(c)) </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11" w:name="Tc_Zbgsoqpkg02IHZiJ5B08Qg_1_4"/>
      <w:bookmarkStart w:id="12" w:name="Tc_KyTaa7EvoEie1PeL8fpU2A_1_2"/>
      <w:bookmarkStart w:id="13" w:name="Tc_Wx5bUhBC-kuEAzu4EX4lUQ_1_0"/>
      <w:bookmarkStart w:id="14" w:name="_7de44346_76df_43c5_93a9_656719af6c5f"/>
      <w:bookmarkStart w:id="15" w:name="Tc_Zbgsoqpkg02IHZiJ5B08Qg_1_4"/>
      <w:bookmarkStart w:id="16" w:name="Tc_KyTaa7EvoEie1PeL8fpU2A_1_2"/>
      <w:bookmarkStart w:id="17" w:name="Tc_Wx5bUhBC-kuEAzu4EX4lUQ_1_0"/>
      <w:bookmarkStart w:id="18" w:name="_7de44346_76df_43c5_93a9_656719af6c5f"/>
      <w:bookmarkEnd w:id="15"/>
      <w:bookmarkEnd w:id="16"/>
      <w:bookmarkEnd w:id="17"/>
      <w:bookmarkEnd w:id="18"/>
    </w:p>
    <w:tbl>
      <w:tblPr>
        <w:tblW w:w="7640" w:type="dxa"/>
        <w:jc w:val="left"/>
        <w:tblInd w:w="0" w:type="dxa"/>
        <w:tblLayout w:type="fixed"/>
        <w:tblCellMar>
          <w:top w:w="0" w:type="dxa"/>
          <w:left w:w="0" w:type="dxa"/>
          <w:bottom w:w="0" w:type="dxa"/>
          <w:right w:w="0" w:type="dxa"/>
        </w:tblCellMar>
      </w:tblPr>
      <w:tblGrid>
        <w:gridCol w:w="3121"/>
        <w:gridCol w:w="346"/>
        <w:gridCol w:w="826"/>
        <w:gridCol w:w="346"/>
        <w:gridCol w:w="3001"/>
      </w:tblGrid>
      <w:tr>
        <w:trPr/>
        <w:tc>
          <w:tcPr>
            <w:tcW w:w="3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981835" cy="29210"/>
                      <wp:effectExtent l="0" t="0" r="0" b="0"/>
                      <wp:wrapNone/>
                      <wp:docPr id="3" name="Frame3"/>
                      <a:graphic xmlns:a="http://schemas.openxmlformats.org/drawingml/2006/main">
                        <a:graphicData uri="http://schemas.microsoft.com/office/word/2010/wordprocessingShape">
                          <wps:wsp>
                            <wps:cNvSpPr txBox="1"/>
                            <wps:spPr>
                              <a:xfrm>
                                <a:off x="0" y="0"/>
                                <a:ext cx="19818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29210"/>
                      <wp:effectExtent l="0" t="0" r="0" b="0"/>
                      <wp:wrapNone/>
                      <wp:docPr id="4" name="Frame4"/>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24510" cy="29210"/>
                      <wp:effectExtent l="0" t="0" r="0" b="0"/>
                      <wp:wrapNone/>
                      <wp:docPr id="5" name="Frame5"/>
                      <a:graphic xmlns:a="http://schemas.openxmlformats.org/drawingml/2006/main">
                        <a:graphicData uri="http://schemas.microsoft.com/office/word/2010/wordprocessingShape">
                          <wps:wsp>
                            <wps:cNvSpPr txBox="1"/>
                            <wps:spPr>
                              <a:xfrm>
                                <a:off x="0" y="0"/>
                                <a:ext cx="524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29210"/>
                      <wp:effectExtent l="0" t="0" r="0" b="0"/>
                      <wp:wrapNone/>
                      <wp:docPr id="6" name="Frame6"/>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905635" cy="29210"/>
                      <wp:effectExtent l="0" t="0" r="0" b="0"/>
                      <wp:wrapNone/>
                      <wp:docPr id="7" name="Frame7"/>
                      <a:graphic xmlns:a="http://schemas.openxmlformats.org/drawingml/2006/main">
                        <a:graphicData uri="http://schemas.microsoft.com/office/word/2010/wordprocessingShape">
                          <wps:wsp>
                            <wps:cNvSpPr txBox="1"/>
                            <wps:spPr>
                              <a:xfrm>
                                <a:off x="0" y="0"/>
                                <a:ext cx="19056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12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  ​ ​ ​</w:t>
            </w:r>
          </w:p>
        </w:tc>
        <w:tc>
          <w:tcPr>
            <w:tcW w:w="82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br/>
              <w:t>Symbol(s)</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  ​ ​ ​</w:t>
            </w:r>
          </w:p>
        </w:tc>
        <w:tc>
          <w:tcPr>
            <w:tcW w:w="300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w:t>
              <w:br/>
              <w:t>on which registered</w:t>
            </w:r>
          </w:p>
        </w:tc>
      </w:tr>
      <w:tr>
        <w:trPr/>
        <w:tc>
          <w:tcPr>
            <w:tcW w:w="3121" w:type="dxa"/>
            <w:tcBorders/>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b/>
                <w:sz w:val="20"/>
              </w:rPr>
              <w:t xml:space="preserve">Ordinary Shares, $0.00003881 par </w:t>
            </w:r>
            <w:r>
              <w:rPr>
                <w:rFonts w:ascii="Times New Roman;Times;serif" w:hAnsi="Times New Roman;Times;serif"/>
                <w:sz w:val="20"/>
              </w:rPr>
              <w:br/>
            </w:r>
            <w:r>
              <w:rPr>
                <w:rFonts w:ascii="Times New Roman;Times;serif" w:hAnsi="Times New Roman;Times;serif"/>
                <w:b/>
                <w:sz w:val="20"/>
              </w:rPr>
              <w:t>value per share</w:t>
            </w:r>
          </w:p>
        </w:tc>
        <w:tc>
          <w:tcPr>
            <w:tcW w:w="346" w:type="dxa"/>
            <w:tcBorders/>
            <w:vAlign w:val="center"/>
          </w:tcPr>
          <w:p>
            <w:pPr>
              <w:pStyle w:val="TableContents"/>
              <w:bidi w:val="0"/>
              <w:spacing w:before="0" w:after="60"/>
              <w:ind w:left="0" w:right="0" w:hanging="0"/>
              <w:jc w:val="left"/>
              <w:rPr/>
            </w:pPr>
            <w:r>
              <w:rPr/>
              <w:t> </w:t>
            </w:r>
          </w:p>
        </w:tc>
        <w:tc>
          <w:tcPr>
            <w:tcW w:w="826" w:type="dxa"/>
            <w:tcBorders/>
            <w:vAlign w:val="center"/>
          </w:tcPr>
          <w:p>
            <w:pPr>
              <w:pStyle w:val="TableContents"/>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MGTX</w:t>
            </w:r>
          </w:p>
        </w:tc>
        <w:tc>
          <w:tcPr>
            <w:tcW w:w="346" w:type="dxa"/>
            <w:tcBorders/>
            <w:vAlign w:val="center"/>
          </w:tcPr>
          <w:p>
            <w:pPr>
              <w:pStyle w:val="TableContents"/>
              <w:bidi w:val="0"/>
              <w:spacing w:before="0" w:after="60"/>
              <w:ind w:left="0" w:right="0" w:hanging="0"/>
              <w:jc w:val="left"/>
              <w:rPr/>
            </w:pPr>
            <w:r>
              <w:rPr/>
              <w:t> </w:t>
            </w:r>
          </w:p>
        </w:tc>
        <w:tc>
          <w:tcPr>
            <w:tcW w:w="3001" w:type="dxa"/>
            <w:tcBorders/>
            <w:vAlign w:val="center"/>
          </w:tcPr>
          <w:p>
            <w:pPr>
              <w:pStyle w:val="TableContents"/>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The Nasdaq Global Select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60"/>
        <w:ind w:left="0" w:right="0" w:hanging="0"/>
        <w:jc w:val="left"/>
        <w:rPr/>
      </w:pPr>
      <w:r>
        <w:rPr/>
        <w:t>​</w:t>
      </w:r>
    </w:p>
    <w:p>
      <w:pPr>
        <w:pStyle w:val="TextBody"/>
        <w:bidi w:val="0"/>
        <w:spacing w:before="0" w:after="60"/>
        <w:ind w:left="0" w:right="0" w:hanging="0"/>
        <w:jc w:val="left"/>
        <w:rPr/>
      </w:pPr>
      <w:r>
        <w:rPr/>
        <w:t>​</w:t>
      </w:r>
    </w:p>
    <w:p>
      <w:pPr>
        <w:pStyle w:val="TextBody"/>
        <w:pBdr/>
        <w:bidi w:val="0"/>
        <w:spacing w:before="0" w:after="240"/>
        <w:ind w:left="0" w:right="0" w:hanging="0"/>
        <w:jc w:val="left"/>
        <w:rPr>
          <w:rFonts w:ascii="Times New Roman;Times;serif" w:hAnsi="Times New Roman;Times;serif"/>
          <w:sz w:val="20"/>
        </w:rPr>
      </w:pPr>
      <w:bookmarkStart w:id="19" w:name="_2b966016_38d5_47b3_b7f5_faf71e85ac9f"/>
      <w:bookmarkEnd w:id="19"/>
      <w:r>
        <w:rPr>
          <w:rFonts w:ascii="Times New Roman;Times;serif" w:hAnsi="Times New Roman;Times;serif"/>
          <w:b/>
          <w:i w:val="false"/>
          <w:caps w:val="false"/>
          <w:smallCaps w:val="false"/>
          <w:sz w:val="20"/>
        </w:rPr>
        <w:t>Item 5.07</w:t>
      </w:r>
      <w:r>
        <w:rPr>
          <w:rFonts w:ascii="Times New Roman;Times;serif" w:hAnsi="Times New Roman;Times;serif"/>
          <w:b/>
          <w:sz w:val="20"/>
        </w:rPr>
        <w:t>Submission of Matters to a Vote of Security 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June 11, 2026, MeiraGTx Holdings plc (the “Company”) held its annual general meeting of shareholders (the “Annual Meeting”). A total of 75,326,022 of the Company’s ordinary shares were present in person or represented by proxy at the Annual Meeting, representing approximately 81.4% of the Company’s ordinary shares outstanding as of the April 21, 2026 record date. Following are the voting results for the proposals considered and voted upon at the Annual Meeting, each of which were described in the Company’s Definitive Proxy Statement filed with the Securities and Exchange Commission on April 30, 2026.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Item 1 – Election of three Class II directors to hold office until the Company’s annual general meeting of shareholders to be held in 2029 and until their respective successors have been duly elected and qualified.</w:t>
      </w:r>
    </w:p>
    <w:tbl>
      <w:tblPr>
        <w:tblW w:w="7447" w:type="dxa"/>
        <w:jc w:val="left"/>
        <w:tblInd w:w="0" w:type="dxa"/>
        <w:tblLayout w:type="fixed"/>
        <w:tblCellMar>
          <w:top w:w="0" w:type="dxa"/>
          <w:left w:w="0" w:type="dxa"/>
          <w:bottom w:w="0" w:type="dxa"/>
          <w:right w:w="0" w:type="dxa"/>
        </w:tblCellMar>
      </w:tblPr>
      <w:tblGrid>
        <w:gridCol w:w="2191"/>
        <w:gridCol w:w="346"/>
        <w:gridCol w:w="1036"/>
        <w:gridCol w:w="346"/>
        <w:gridCol w:w="1111"/>
        <w:gridCol w:w="346"/>
        <w:gridCol w:w="2071"/>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91285" cy="350520"/>
                      <wp:effectExtent l="0" t="0" r="0" b="0"/>
                      <wp:wrapNone/>
                      <wp:docPr id="8" name="Frame8"/>
                      <a:graphic xmlns:a="http://schemas.openxmlformats.org/drawingml/2006/main">
                        <a:graphicData uri="http://schemas.microsoft.com/office/word/2010/wordprocessingShape">
                          <wps:wsp>
                            <wps:cNvSpPr txBox="1"/>
                            <wps:spPr>
                              <a:xfrm>
                                <a:off x="0" y="0"/>
                                <a:ext cx="1391285" cy="350520"/>
                              </a:xfrm>
                              <a:prstGeom prst="rect"/>
                              <a:solidFill>
                                <a:srgbClr val="FFFFFF"/>
                              </a:solidFill>
                            </wps:spPr>
                            <wps:txb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29210"/>
                      <wp:effectExtent l="0" t="0" r="0" b="0"/>
                      <wp:wrapNone/>
                      <wp:docPr id="9" name="Frame9"/>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57860" cy="29210"/>
                      <wp:effectExtent l="0" t="0" r="0" b="0"/>
                      <wp:wrapNone/>
                      <wp:docPr id="10" name="Frame10"/>
                      <a:graphic xmlns:a="http://schemas.openxmlformats.org/drawingml/2006/main">
                        <a:graphicData uri="http://schemas.microsoft.com/office/word/2010/wordprocessingShape">
                          <wps:wsp>
                            <wps:cNvSpPr txBox="1"/>
                            <wps:spPr>
                              <a:xfrm>
                                <a:off x="0" y="0"/>
                                <a:ext cx="657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29210"/>
                      <wp:effectExtent l="0" t="0" r="0" b="0"/>
                      <wp:wrapNone/>
                      <wp:docPr id="11" name="Frame11"/>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705485" cy="29210"/>
                      <wp:effectExtent l="0" t="0" r="0" b="0"/>
                      <wp:wrapNone/>
                      <wp:docPr id="12" name="Frame12"/>
                      <a:graphic xmlns:a="http://schemas.openxmlformats.org/drawingml/2006/main">
                        <a:graphicData uri="http://schemas.microsoft.com/office/word/2010/wordprocessingShape">
                          <wps:wsp>
                            <wps:cNvSpPr txBox="1"/>
                            <wps:spPr>
                              <a:xfrm>
                                <a:off x="0" y="0"/>
                                <a:ext cx="705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29210"/>
                      <wp:effectExtent l="0" t="0" r="0" b="0"/>
                      <wp:wrapNone/>
                      <wp:docPr id="13" name="Frame13"/>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15085" cy="29210"/>
                      <wp:effectExtent l="0" t="0" r="0" b="0"/>
                      <wp:wrapNone/>
                      <wp:docPr id="14" name="Frame14"/>
                      <a:graphic xmlns:a="http://schemas.openxmlformats.org/drawingml/2006/main">
                        <a:graphicData uri="http://schemas.microsoft.com/office/word/2010/wordprocessingShape">
                          <wps:wsp>
                            <wps:cNvSpPr txBox="1"/>
                            <wps:spPr>
                              <a:xfrm>
                                <a:off x="0" y="0"/>
                                <a:ext cx="1315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WITHHELD</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BROKER NON-VOTES</w:t>
            </w:r>
          </w:p>
        </w:tc>
      </w:tr>
      <w:tr>
        <w:trPr/>
        <w:tc>
          <w:tcPr>
            <w:tcW w:w="21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Ellen Hukkelhoven, Ph.D</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63,644,550</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246,847</w:t>
            </w:r>
          </w:p>
        </w:tc>
        <w:tc>
          <w:tcPr>
            <w:tcW w:w="346" w:type="dxa"/>
            <w:tcBorders/>
            <w:shd w:fill="CCEEFF" w:val="clear"/>
            <w:vAlign w:val="center"/>
          </w:tcPr>
          <w:p>
            <w:pPr>
              <w:pStyle w:val="TableContents"/>
              <w:bidi w:val="0"/>
              <w:spacing w:before="0" w:after="0"/>
              <w:ind w:left="0" w:right="0" w:hanging="0"/>
              <w:jc w:val="left"/>
              <w:rPr/>
            </w:pPr>
            <w:r>
              <w:rPr/>
              <w:t>​</w:t>
            </w:r>
          </w:p>
        </w:tc>
        <w:tc>
          <w:tcPr>
            <w:tcW w:w="207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11,434,625</w:t>
            </w:r>
          </w:p>
        </w:tc>
      </w:tr>
      <w:tr>
        <w:trPr/>
        <w:tc>
          <w:tcPr>
            <w:tcW w:w="21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Nicole Seligman</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62,881,518</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1,009,879</w:t>
            </w:r>
          </w:p>
        </w:tc>
        <w:tc>
          <w:tcPr>
            <w:tcW w:w="34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11,434.625</w:t>
            </w:r>
          </w:p>
        </w:tc>
      </w:tr>
      <w:tr>
        <w:trPr/>
        <w:tc>
          <w:tcPr>
            <w:tcW w:w="21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Debra Yu, M.D.</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54,192,550</w:t>
            </w:r>
          </w:p>
        </w:tc>
        <w:tc>
          <w:tcPr>
            <w:tcW w:w="346"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9,698,847</w:t>
            </w:r>
          </w:p>
        </w:tc>
        <w:tc>
          <w:tcPr>
            <w:tcW w:w="346" w:type="dxa"/>
            <w:tcBorders/>
            <w:shd w:fill="CCEEFF" w:val="clear"/>
            <w:vAlign w:val="center"/>
          </w:tcPr>
          <w:p>
            <w:pPr>
              <w:pStyle w:val="TableContents"/>
              <w:bidi w:val="0"/>
              <w:spacing w:before="0" w:after="0"/>
              <w:ind w:left="0" w:right="0" w:hanging="0"/>
              <w:jc w:val="left"/>
              <w:rPr/>
            </w:pPr>
            <w:r>
              <w:rPr/>
              <w:t>​</w:t>
            </w:r>
          </w:p>
        </w:tc>
        <w:tc>
          <w:tcPr>
            <w:tcW w:w="2071" w:type="dxa"/>
            <w:tcBorders/>
            <w:shd w:fill="CCEEFF" w:val="clear"/>
            <w:vAlign w:val="center"/>
          </w:tcPr>
          <w:p>
            <w:pPr>
              <w:pStyle w:val="TableContents"/>
              <w:bidi w:val="0"/>
              <w:spacing w:before="0" w:after="0"/>
              <w:ind w:left="0" w:right="60" w:hanging="0"/>
              <w:jc w:val="center"/>
              <w:rPr>
                <w:rFonts w:ascii="Times New Roman;Times;serif" w:hAnsi="Times New Roman;Times;serif"/>
                <w:sz w:val="20"/>
              </w:rPr>
            </w:pPr>
            <w:r>
              <w:rPr>
                <w:rFonts w:ascii="Times New Roman;Times;serif" w:hAnsi="Times New Roman;Times;serif"/>
                <w:sz w:val="20"/>
              </w:rPr>
              <w:t>11,434,625</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Item 2 – Ratification, by ordinary resolution, of the appointment of Ernst &amp; Young LLP as the Company’s independent registered public accounting firm for the fiscal year ending December 31, 2026.</w:t>
      </w:r>
    </w:p>
    <w:p>
      <w:pPr>
        <w:pStyle w:val="TextBody"/>
        <w:bidi w:val="0"/>
        <w:spacing w:before="0" w:after="0"/>
        <w:ind w:left="0" w:right="0" w:hanging="0"/>
        <w:jc w:val="left"/>
        <w:rPr/>
      </w:pPr>
      <w:r>
        <w:rPr/>
        <w:t>​</w:t>
      </w:r>
    </w:p>
    <w:tbl>
      <w:tblPr>
        <w:tblW w:w="3905" w:type="dxa"/>
        <w:jc w:val="left"/>
        <w:tblInd w:w="0" w:type="dxa"/>
        <w:tblLayout w:type="fixed"/>
        <w:tblCellMar>
          <w:top w:w="0" w:type="dxa"/>
          <w:left w:w="0" w:type="dxa"/>
          <w:bottom w:w="0" w:type="dxa"/>
          <w:right w:w="0" w:type="dxa"/>
        </w:tblCellMar>
      </w:tblPr>
      <w:tblGrid>
        <w:gridCol w:w="1051"/>
        <w:gridCol w:w="346"/>
        <w:gridCol w:w="931"/>
        <w:gridCol w:w="346"/>
        <w:gridCol w:w="1231"/>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67385" cy="29210"/>
                      <wp:effectExtent l="0" t="0" r="0" b="0"/>
                      <wp:wrapNone/>
                      <wp:docPr id="15" name="Frame15"/>
                      <a:graphic xmlns:a="http://schemas.openxmlformats.org/drawingml/2006/main">
                        <a:graphicData uri="http://schemas.microsoft.com/office/word/2010/wordprocessingShape">
                          <wps:wsp>
                            <wps:cNvSpPr txBox="1"/>
                            <wps:spPr>
                              <a:xfrm>
                                <a:off x="0" y="0"/>
                                <a:ext cx="6673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29210"/>
                      <wp:effectExtent l="0" t="0" r="0" b="0"/>
                      <wp:wrapNone/>
                      <wp:docPr id="16" name="Frame16"/>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91185" cy="29210"/>
                      <wp:effectExtent l="0" t="0" r="0" b="0"/>
                      <wp:wrapNone/>
                      <wp:docPr id="17" name="Frame17"/>
                      <a:graphic xmlns:a="http://schemas.openxmlformats.org/drawingml/2006/main">
                        <a:graphicData uri="http://schemas.microsoft.com/office/word/2010/wordprocessingShape">
                          <wps:wsp>
                            <wps:cNvSpPr txBox="1"/>
                            <wps:spPr>
                              <a:xfrm>
                                <a:off x="0" y="0"/>
                                <a:ext cx="591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29210"/>
                      <wp:effectExtent l="0" t="0" r="0" b="0"/>
                      <wp:wrapNone/>
                      <wp:docPr id="18" name="Frame18"/>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781685" cy="29210"/>
                      <wp:effectExtent l="0" t="0" r="0" b="0"/>
                      <wp:wrapNone/>
                      <wp:docPr id="19" name="Frame19"/>
                      <a:graphic xmlns:a="http://schemas.openxmlformats.org/drawingml/2006/main">
                        <a:graphicData uri="http://schemas.microsoft.com/office/word/2010/wordprocessingShape">
                          <wps:wsp>
                            <wps:cNvSpPr txBox="1"/>
                            <wps:spPr>
                              <a:xfrm>
                                <a:off x="0" y="0"/>
                                <a:ext cx="781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051"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AGAINST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ABSTAINED</w:t>
            </w:r>
          </w:p>
        </w:tc>
      </w:tr>
      <w:tr>
        <w:trPr/>
        <w:tc>
          <w:tcPr>
            <w:tcW w:w="1051" w:type="dxa"/>
            <w:tcBorders>
              <w:top w:val="single" w:sz="2" w:space="0" w:color="000000"/>
            </w:tcBorders>
            <w:shd w:fill="CCEEFF" w:val="clear"/>
            <w:tcMar>
              <w:top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73,933,288</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1,029,075</w:t>
            </w:r>
          </w:p>
        </w:tc>
        <w:tc>
          <w:tcPr>
            <w:tcW w:w="346" w:type="dxa"/>
            <w:tcBorders/>
            <w:shd w:fill="CCEEFF" w:val="clear"/>
            <w:vAlign w:val="center"/>
          </w:tcPr>
          <w:p>
            <w:pPr>
              <w:pStyle w:val="TableContents"/>
              <w:bidi w:val="0"/>
              <w:spacing w:before="0" w:after="0"/>
              <w:ind w:left="0" w:right="0" w:hanging="0"/>
              <w:jc w:val="left"/>
              <w:rPr/>
            </w:pPr>
            <w:r>
              <w:rPr/>
              <w:t>​</w:t>
            </w:r>
          </w:p>
        </w:tc>
        <w:tc>
          <w:tcPr>
            <w:tcW w:w="1231" w:type="dxa"/>
            <w:tcBorders>
              <w:top w:val="single" w:sz="2" w:space="0" w:color="000000"/>
            </w:tcBorders>
            <w:shd w:fill="CCEEFF" w:val="clear"/>
            <w:tcMar>
              <w:top w:w="28" w:type="dxa"/>
            </w:tcMar>
            <w:vAlign w:val="center"/>
          </w:tcPr>
          <w:p>
            <w:pPr>
              <w:pStyle w:val="TableContents"/>
              <w:bidi w:val="0"/>
              <w:spacing w:before="0" w:after="0"/>
              <w:ind w:left="0" w:right="60" w:hanging="0"/>
              <w:jc w:val="center"/>
              <w:rPr>
                <w:rFonts w:ascii="Times New Roman;Times;serif" w:hAnsi="Times New Roman;Times;serif"/>
                <w:sz w:val="20"/>
              </w:rPr>
            </w:pPr>
            <w:r>
              <w:rPr>
                <w:rFonts w:ascii="Times New Roman;Times;serif" w:hAnsi="Times New Roman;Times;serif"/>
                <w:sz w:val="20"/>
              </w:rPr>
              <w:t>363,659</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Based on the above voting results, the director nominees named above were elected and Item 2 was approved.</w:t>
      </w:r>
    </w:p>
    <w:p>
      <w:pPr>
        <w:pStyle w:val="TextBody"/>
        <w:bidi w:val="0"/>
        <w:spacing w:before="0" w:after="60"/>
        <w:ind w:left="0" w:right="0" w:hanging="0"/>
        <w:jc w:val="left"/>
        <w:rPr/>
      </w:pPr>
      <w:r>
        <w:rPr/>
        <w:t>​</w:t>
      </w:r>
    </w:p>
    <w:p>
      <w:pPr>
        <w:pStyle w:val="TextBody"/>
        <w:bidi w:val="0"/>
        <w:spacing w:before="0" w:after="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240"/>
        <w:ind w:left="0" w:right="0" w:hanging="0"/>
        <w:jc w:val="center"/>
        <w:rPr>
          <w:rFonts w:ascii="Times New Roman;Times;serif" w:hAnsi="Times New Roman;Times;serif"/>
          <w:b/>
          <w:sz w:val="20"/>
        </w:rPr>
      </w:pPr>
      <w:bookmarkStart w:id="20" w:name="_b5d0934a_d49b_4f75_ab42_7b045f9eb493"/>
      <w:bookmarkEnd w:id="20"/>
      <w:r>
        <w:rPr>
          <w:rFonts w:ascii="Times New Roman;Times;serif" w:hAnsi="Times New Roman;Times;serif"/>
          <w:b/>
          <w:sz w:val="20"/>
        </w:rPr>
        <w:t>SIGNATURE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bl>
      <w:tblPr>
        <w:tblW w:w="6678" w:type="dxa"/>
        <w:jc w:val="left"/>
        <w:tblInd w:w="0" w:type="dxa"/>
        <w:tblLayout w:type="fixed"/>
        <w:tblCellMar>
          <w:top w:w="0" w:type="dxa"/>
          <w:left w:w="0" w:type="dxa"/>
          <w:bottom w:w="0" w:type="dxa"/>
          <w:right w:w="0" w:type="dxa"/>
        </w:tblCellMar>
      </w:tblPr>
      <w:tblGrid>
        <w:gridCol w:w="1741"/>
        <w:gridCol w:w="631"/>
        <w:gridCol w:w="430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105535" cy="175260"/>
                      <wp:effectExtent l="0" t="0" r="0" b="0"/>
                      <wp:wrapNone/>
                      <wp:docPr id="20" name="Frame20"/>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00685" cy="175260"/>
                      <wp:effectExtent l="0" t="0" r="0" b="0"/>
                      <wp:wrapNone/>
                      <wp:docPr id="21" name="Frame2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734310" cy="175260"/>
                      <wp:effectExtent l="0" t="0" r="0" b="0"/>
                      <wp:wrapNone/>
                      <wp:docPr id="22" name="Frame22"/>
                      <a:graphic xmlns:a="http://schemas.openxmlformats.org/drawingml/2006/main">
                        <a:graphicData uri="http://schemas.microsoft.com/office/word/2010/wordprocessingShape">
                          <wps:wsp>
                            <wps:cNvSpPr txBox="1"/>
                            <wps:spPr>
                              <a:xfrm>
                                <a:off x="0" y="0"/>
                                <a:ext cx="273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June 15, 2026</w:t>
            </w:r>
          </w:p>
        </w:tc>
        <w:tc>
          <w:tcPr>
            <w:tcW w:w="4937" w:type="dxa"/>
            <w:gridSpan w:val="2"/>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4937" w:type="dxa"/>
            <w:gridSpan w:val="2"/>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493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MEIRAGTX HOLDINGS PLC</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306"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Richard Giroux</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Richard Giroux</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Chief Operating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578</Words>
  <Characters>3201</Characters>
  <CharactersWithSpaces>3841</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